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17" w:rsidRDefault="009E2617" w:rsidP="00441885">
      <w:pPr>
        <w:pStyle w:val="Nadpis7"/>
        <w:numPr>
          <w:ilvl w:val="0"/>
          <w:numId w:val="0"/>
        </w:numPr>
        <w:spacing w:before="0" w:after="0"/>
        <w:ind w:firstLine="708"/>
        <w:jc w:val="center"/>
        <w:rPr>
          <w:rFonts w:ascii="Arial" w:hAnsi="Arial" w:cs="Arial"/>
          <w:sz w:val="28"/>
          <w:szCs w:val="28"/>
        </w:rPr>
      </w:pPr>
    </w:p>
    <w:p w:rsidR="00BC4B4C" w:rsidRDefault="00FC2867" w:rsidP="00E05441">
      <w:pPr>
        <w:pStyle w:val="Nadpis7"/>
        <w:numPr>
          <w:ilvl w:val="0"/>
          <w:numId w:val="0"/>
        </w:numPr>
        <w:spacing w:before="0" w:after="120"/>
        <w:ind w:firstLine="709"/>
        <w:jc w:val="center"/>
        <w:rPr>
          <w:rFonts w:ascii="Arial" w:hAnsi="Arial" w:cs="Arial"/>
          <w:sz w:val="28"/>
          <w:szCs w:val="28"/>
        </w:rPr>
      </w:pPr>
      <w:r>
        <w:rPr>
          <w:rFonts w:ascii="Arial" w:hAnsi="Arial" w:cs="Arial"/>
          <w:sz w:val="28"/>
          <w:szCs w:val="28"/>
        </w:rPr>
        <w:t>POVOLOVÁNÍ VÝJI</w:t>
      </w:r>
      <w:r w:rsidR="007726E7" w:rsidRPr="00CB3115">
        <w:rPr>
          <w:rFonts w:ascii="Arial" w:hAnsi="Arial" w:cs="Arial"/>
          <w:sz w:val="28"/>
          <w:szCs w:val="28"/>
        </w:rPr>
        <w:t>MEK Z OBECNÝCH POŽADAVKŮ</w:t>
      </w:r>
      <w:r w:rsidR="00441885">
        <w:rPr>
          <w:rFonts w:ascii="Arial" w:hAnsi="Arial" w:cs="Arial"/>
          <w:sz w:val="28"/>
          <w:szCs w:val="28"/>
        </w:rPr>
        <w:t xml:space="preserve"> NA </w:t>
      </w:r>
      <w:r w:rsidR="007726E7" w:rsidRPr="00CB3115">
        <w:rPr>
          <w:rFonts w:ascii="Arial" w:hAnsi="Arial" w:cs="Arial"/>
          <w:sz w:val="28"/>
          <w:szCs w:val="28"/>
        </w:rPr>
        <w:t>VÝSTAVBU</w:t>
      </w:r>
    </w:p>
    <w:p w:rsidR="00BC4B4C" w:rsidRDefault="007726E7" w:rsidP="00441885">
      <w:pPr>
        <w:pStyle w:val="Nadpis7"/>
        <w:numPr>
          <w:ilvl w:val="0"/>
          <w:numId w:val="0"/>
        </w:numPr>
        <w:spacing w:before="0" w:after="0"/>
        <w:jc w:val="center"/>
        <w:rPr>
          <w:rFonts w:ascii="Arial" w:hAnsi="Arial" w:cs="Arial"/>
          <w:sz w:val="28"/>
          <w:szCs w:val="28"/>
        </w:rPr>
      </w:pPr>
      <w:r w:rsidRPr="00CB3115">
        <w:rPr>
          <w:rFonts w:ascii="Arial" w:hAnsi="Arial" w:cs="Arial"/>
          <w:sz w:val="28"/>
          <w:szCs w:val="28"/>
        </w:rPr>
        <w:t xml:space="preserve">PRACOVNÍ POMŮCKA </w:t>
      </w:r>
      <w:r w:rsidR="00441885">
        <w:rPr>
          <w:rFonts w:ascii="Arial" w:hAnsi="Arial" w:cs="Arial"/>
          <w:sz w:val="28"/>
          <w:szCs w:val="28"/>
        </w:rPr>
        <w:t>ODBORU STAVEBNÍHO ŘÁDU</w:t>
      </w:r>
    </w:p>
    <w:p w:rsidR="001F759A" w:rsidRPr="003F321A" w:rsidRDefault="001F759A" w:rsidP="00441885">
      <w:pPr>
        <w:jc w:val="center"/>
      </w:pPr>
    </w:p>
    <w:p w:rsidR="00BC4B4C" w:rsidRDefault="007726E7" w:rsidP="00441885">
      <w:pPr>
        <w:pStyle w:val="Nadpis7"/>
        <w:numPr>
          <w:ilvl w:val="0"/>
          <w:numId w:val="2"/>
        </w:numPr>
        <w:spacing w:before="0" w:after="120"/>
        <w:ind w:left="714" w:hanging="357"/>
        <w:rPr>
          <w:rFonts w:ascii="Arial" w:hAnsi="Arial" w:cs="Arial"/>
        </w:rPr>
      </w:pPr>
      <w:r w:rsidRPr="00CB3115">
        <w:rPr>
          <w:rFonts w:ascii="Arial" w:hAnsi="Arial" w:cs="Arial"/>
        </w:rPr>
        <w:t>Úvod</w:t>
      </w:r>
    </w:p>
    <w:p w:rsidR="00BC4B4C" w:rsidRPr="00CB3115" w:rsidRDefault="007726E7" w:rsidP="00502232">
      <w:pPr>
        <w:spacing w:after="120"/>
        <w:rPr>
          <w:lang w:eastAsia="cs-CZ"/>
        </w:rPr>
      </w:pPr>
      <w:r w:rsidRPr="00CB3115">
        <w:rPr>
          <w:lang w:eastAsia="cs-CZ"/>
        </w:rPr>
        <w:t xml:space="preserve">Právnické a fyzické osoby a příslušné orgány veřejné správy jsou podle § 169 zákona č. 183/2006 Sb., o územním plánování a stavebním řádu (stavební zákon), ve znění pozdějších předpisů, povinny při územně plánovací a projektové činnosti, při povolování, provádění, užívání a odstraňování staveb respektovat záměry územního plánování a obecné požadavky na výstavbu, stanovené prováděcími právními předpisy </w:t>
      </w:r>
      <w:r w:rsidR="00441885">
        <w:rPr>
          <w:lang w:eastAsia="cs-CZ"/>
        </w:rPr>
        <w:t xml:space="preserve">ke </w:t>
      </w:r>
      <w:r w:rsidRPr="00CB3115">
        <w:rPr>
          <w:lang w:eastAsia="cs-CZ"/>
        </w:rPr>
        <w:t>stavební</w:t>
      </w:r>
      <w:r w:rsidR="00441885">
        <w:rPr>
          <w:lang w:eastAsia="cs-CZ"/>
        </w:rPr>
        <w:t>mu</w:t>
      </w:r>
      <w:r w:rsidRPr="00CB3115">
        <w:rPr>
          <w:lang w:eastAsia="cs-CZ"/>
        </w:rPr>
        <w:t xml:space="preserve"> zákon</w:t>
      </w:r>
      <w:r w:rsidR="00441885">
        <w:rPr>
          <w:lang w:eastAsia="cs-CZ"/>
        </w:rPr>
        <w:t>u</w:t>
      </w:r>
      <w:r w:rsidRPr="00CB3115">
        <w:rPr>
          <w:lang w:eastAsia="cs-CZ"/>
        </w:rPr>
        <w:t xml:space="preserve">. </w:t>
      </w:r>
    </w:p>
    <w:p w:rsidR="00BC4B4C" w:rsidRPr="00CB3115" w:rsidRDefault="007726E7" w:rsidP="00BC4B4C">
      <w:pPr>
        <w:rPr>
          <w:lang w:eastAsia="cs-CZ"/>
        </w:rPr>
      </w:pPr>
      <w:r w:rsidRPr="00CB3115">
        <w:rPr>
          <w:lang w:eastAsia="cs-CZ"/>
        </w:rPr>
        <w:t xml:space="preserve">V aplikační praxi to znamená, že všechny osoby zúčastněné ve výstavbě, tj. </w:t>
      </w:r>
      <w:r w:rsidR="00C43958">
        <w:rPr>
          <w:lang w:eastAsia="cs-CZ"/>
        </w:rPr>
        <w:t xml:space="preserve">zejména </w:t>
      </w:r>
      <w:r w:rsidRPr="00CB3115">
        <w:rPr>
          <w:lang w:eastAsia="cs-CZ"/>
        </w:rPr>
        <w:t>stavebník/investor, projektant, stavební úřad,</w:t>
      </w:r>
      <w:r w:rsidR="00C43958">
        <w:rPr>
          <w:lang w:eastAsia="cs-CZ"/>
        </w:rPr>
        <w:t xml:space="preserve"> zhotovitel,</w:t>
      </w:r>
      <w:r w:rsidRPr="00CB3115">
        <w:rPr>
          <w:lang w:eastAsia="cs-CZ"/>
        </w:rPr>
        <w:t xml:space="preserve"> stavbyvedoucí</w:t>
      </w:r>
      <w:r w:rsidR="00C43958">
        <w:rPr>
          <w:lang w:eastAsia="cs-CZ"/>
        </w:rPr>
        <w:t>, stavební dozor</w:t>
      </w:r>
      <w:r w:rsidRPr="00CB3115">
        <w:rPr>
          <w:lang w:eastAsia="cs-CZ"/>
        </w:rPr>
        <w:t xml:space="preserve"> a vlastník stavby, jsou povinn</w:t>
      </w:r>
      <w:r w:rsidR="00441885">
        <w:rPr>
          <w:lang w:eastAsia="cs-CZ"/>
        </w:rPr>
        <w:t>y</w:t>
      </w:r>
      <w:r w:rsidRPr="00CB3115">
        <w:rPr>
          <w:lang w:eastAsia="cs-CZ"/>
        </w:rPr>
        <w:t xml:space="preserve"> v každé fázi, tj. od přípravy přes umístění,</w:t>
      </w:r>
      <w:r w:rsidR="00502232">
        <w:rPr>
          <w:lang w:eastAsia="cs-CZ"/>
        </w:rPr>
        <w:t xml:space="preserve"> </w:t>
      </w:r>
      <w:r w:rsidRPr="00CB3115">
        <w:rPr>
          <w:lang w:eastAsia="cs-CZ"/>
        </w:rPr>
        <w:t>povolení, kolaudaci, užívání a</w:t>
      </w:r>
      <w:r w:rsidR="009E2617">
        <w:rPr>
          <w:lang w:eastAsia="cs-CZ"/>
        </w:rPr>
        <w:t> </w:t>
      </w:r>
      <w:r w:rsidRPr="00CB3115">
        <w:rPr>
          <w:lang w:eastAsia="cs-CZ"/>
        </w:rPr>
        <w:t xml:space="preserve">odstraňování stavby, respektovat obecné požadavky na výstavbu. </w:t>
      </w:r>
    </w:p>
    <w:p w:rsidR="00BC4B4C" w:rsidRPr="00CB3115" w:rsidRDefault="007726E7" w:rsidP="00661A25">
      <w:pPr>
        <w:spacing w:before="120"/>
        <w:rPr>
          <w:lang w:eastAsia="cs-CZ"/>
        </w:rPr>
      </w:pPr>
      <w:r w:rsidRPr="00CB3115">
        <w:rPr>
          <w:lang w:eastAsia="cs-CZ"/>
        </w:rPr>
        <w:t xml:space="preserve">Pro usměrnění aplikační praxe </w:t>
      </w:r>
      <w:r w:rsidR="00441885">
        <w:rPr>
          <w:lang w:eastAsia="cs-CZ"/>
        </w:rPr>
        <w:t xml:space="preserve">odbor stavebního řádu </w:t>
      </w:r>
      <w:r w:rsidRPr="00CB3115">
        <w:rPr>
          <w:lang w:eastAsia="cs-CZ"/>
        </w:rPr>
        <w:t>vydává t</w:t>
      </w:r>
      <w:r w:rsidR="00441885">
        <w:rPr>
          <w:lang w:eastAsia="cs-CZ"/>
        </w:rPr>
        <w:t>u</w:t>
      </w:r>
      <w:r w:rsidRPr="00CB3115">
        <w:rPr>
          <w:lang w:eastAsia="cs-CZ"/>
        </w:rPr>
        <w:t>to pracovní pomůck</w:t>
      </w:r>
      <w:r w:rsidR="00441885">
        <w:rPr>
          <w:lang w:eastAsia="cs-CZ"/>
        </w:rPr>
        <w:t>u</w:t>
      </w:r>
      <w:r w:rsidRPr="00CB3115">
        <w:rPr>
          <w:lang w:eastAsia="cs-CZ"/>
        </w:rPr>
        <w:t>.</w:t>
      </w:r>
    </w:p>
    <w:p w:rsidR="00BC4B4C" w:rsidRPr="00CB3115" w:rsidRDefault="00BC4B4C" w:rsidP="00BC4B4C">
      <w:pPr>
        <w:rPr>
          <w:sz w:val="24"/>
          <w:szCs w:val="24"/>
          <w:lang w:eastAsia="cs-CZ"/>
        </w:rPr>
      </w:pPr>
    </w:p>
    <w:p w:rsidR="00BC4B4C" w:rsidRPr="00CB3115" w:rsidRDefault="00BC4B4C" w:rsidP="00BC4B4C">
      <w:pPr>
        <w:rPr>
          <w:sz w:val="24"/>
          <w:szCs w:val="24"/>
          <w:lang w:eastAsia="cs-CZ"/>
        </w:rPr>
      </w:pPr>
    </w:p>
    <w:p w:rsidR="00BC4B4C" w:rsidRDefault="007726E7" w:rsidP="00441885">
      <w:pPr>
        <w:pStyle w:val="Odstavecseseznamem"/>
        <w:numPr>
          <w:ilvl w:val="0"/>
          <w:numId w:val="2"/>
        </w:numPr>
        <w:spacing w:after="120"/>
        <w:ind w:left="714" w:hanging="357"/>
        <w:rPr>
          <w:rFonts w:ascii="Arial" w:hAnsi="Arial" w:cs="Arial"/>
          <w:b/>
          <w:sz w:val="24"/>
          <w:szCs w:val="24"/>
          <w:lang w:eastAsia="cs-CZ"/>
        </w:rPr>
      </w:pPr>
      <w:r w:rsidRPr="00CB3115">
        <w:rPr>
          <w:rFonts w:ascii="Arial" w:hAnsi="Arial" w:cs="Arial"/>
          <w:b/>
          <w:sz w:val="24"/>
          <w:szCs w:val="24"/>
          <w:lang w:eastAsia="cs-CZ"/>
        </w:rPr>
        <w:t xml:space="preserve"> </w:t>
      </w:r>
      <w:r w:rsidR="00C43958">
        <w:rPr>
          <w:rFonts w:ascii="Arial" w:hAnsi="Arial" w:cs="Arial"/>
          <w:b/>
          <w:sz w:val="24"/>
          <w:szCs w:val="24"/>
          <w:lang w:eastAsia="cs-CZ"/>
        </w:rPr>
        <w:t xml:space="preserve">Související </w:t>
      </w:r>
      <w:r w:rsidRPr="00CB3115">
        <w:rPr>
          <w:rFonts w:ascii="Arial" w:hAnsi="Arial" w:cs="Arial"/>
          <w:b/>
          <w:sz w:val="24"/>
          <w:szCs w:val="24"/>
          <w:lang w:eastAsia="cs-CZ"/>
        </w:rPr>
        <w:t>ustanovení</w:t>
      </w:r>
      <w:r w:rsidR="00941385">
        <w:rPr>
          <w:rFonts w:ascii="Arial" w:hAnsi="Arial" w:cs="Arial"/>
          <w:b/>
          <w:sz w:val="24"/>
          <w:szCs w:val="24"/>
          <w:lang w:eastAsia="cs-CZ"/>
        </w:rPr>
        <w:t xml:space="preserve"> stavebního zákona</w:t>
      </w:r>
    </w:p>
    <w:p w:rsidR="00941385" w:rsidRPr="00CB3115" w:rsidRDefault="00941385" w:rsidP="00941385">
      <w:pPr>
        <w:widowControl w:val="0"/>
        <w:autoSpaceDE w:val="0"/>
        <w:autoSpaceDN w:val="0"/>
        <w:adjustRightInd w:val="0"/>
        <w:jc w:val="center"/>
      </w:pPr>
      <w:r w:rsidRPr="00CB3115">
        <w:t>§ 2</w:t>
      </w:r>
    </w:p>
    <w:p w:rsidR="00941385" w:rsidRPr="00CB3115" w:rsidRDefault="00941385" w:rsidP="00441885">
      <w:pPr>
        <w:widowControl w:val="0"/>
        <w:autoSpaceDE w:val="0"/>
        <w:autoSpaceDN w:val="0"/>
        <w:adjustRightInd w:val="0"/>
        <w:spacing w:after="120"/>
        <w:jc w:val="center"/>
        <w:rPr>
          <w:b/>
          <w:bCs/>
        </w:rPr>
      </w:pPr>
      <w:r w:rsidRPr="00CB3115">
        <w:rPr>
          <w:b/>
          <w:bCs/>
        </w:rPr>
        <w:t>Základní pojmy</w:t>
      </w:r>
    </w:p>
    <w:p w:rsidR="00941385" w:rsidRPr="00902E14" w:rsidRDefault="00941385" w:rsidP="00941385">
      <w:pPr>
        <w:pStyle w:val="Odstavecseseznamem"/>
        <w:widowControl w:val="0"/>
        <w:numPr>
          <w:ilvl w:val="0"/>
          <w:numId w:val="3"/>
        </w:numPr>
        <w:autoSpaceDE w:val="0"/>
        <w:autoSpaceDN w:val="0"/>
        <w:adjustRightInd w:val="0"/>
        <w:spacing w:after="120"/>
        <w:ind w:left="1066" w:hanging="357"/>
        <w:rPr>
          <w:rFonts w:ascii="Arial" w:hAnsi="Arial" w:cs="Arial"/>
          <w:bCs/>
          <w:sz w:val="20"/>
          <w:szCs w:val="20"/>
        </w:rPr>
      </w:pPr>
      <w:r w:rsidRPr="00902E14">
        <w:rPr>
          <w:rFonts w:ascii="Arial" w:hAnsi="Arial" w:cs="Arial"/>
          <w:bCs/>
          <w:sz w:val="20"/>
          <w:szCs w:val="20"/>
        </w:rPr>
        <w:t xml:space="preserve">V tomto zákoně se dále rozumí </w:t>
      </w:r>
    </w:p>
    <w:p w:rsidR="00941385" w:rsidRPr="00CB3115" w:rsidRDefault="00941385" w:rsidP="00941385">
      <w:pPr>
        <w:widowControl w:val="0"/>
        <w:autoSpaceDE w:val="0"/>
        <w:autoSpaceDN w:val="0"/>
        <w:adjustRightInd w:val="0"/>
        <w:spacing w:after="120"/>
        <w:rPr>
          <w:bCs/>
        </w:rPr>
      </w:pPr>
      <w:r w:rsidRPr="00CB3115">
        <w:rPr>
          <w:bCs/>
        </w:rPr>
        <w:t xml:space="preserve">e) 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(„bezbariérové užívání stavby“).  </w:t>
      </w:r>
    </w:p>
    <w:p w:rsidR="00941385" w:rsidRPr="00502232" w:rsidRDefault="00941385" w:rsidP="00BC4B4C">
      <w:pPr>
        <w:widowControl w:val="0"/>
        <w:autoSpaceDE w:val="0"/>
        <w:autoSpaceDN w:val="0"/>
        <w:adjustRightInd w:val="0"/>
        <w:jc w:val="center"/>
        <w:rPr>
          <w:sz w:val="24"/>
          <w:szCs w:val="24"/>
        </w:rPr>
      </w:pPr>
    </w:p>
    <w:p w:rsidR="00BC4B4C" w:rsidRPr="00CB3115" w:rsidRDefault="007726E7" w:rsidP="00BC4B4C">
      <w:pPr>
        <w:widowControl w:val="0"/>
        <w:autoSpaceDE w:val="0"/>
        <w:autoSpaceDN w:val="0"/>
        <w:adjustRightInd w:val="0"/>
        <w:jc w:val="center"/>
      </w:pPr>
      <w:r w:rsidRPr="00CB3115">
        <w:t>§ 169</w:t>
      </w:r>
    </w:p>
    <w:p w:rsidR="00BC4B4C" w:rsidRPr="00CB3115" w:rsidRDefault="007726E7" w:rsidP="00441885">
      <w:pPr>
        <w:widowControl w:val="0"/>
        <w:autoSpaceDE w:val="0"/>
        <w:autoSpaceDN w:val="0"/>
        <w:adjustRightInd w:val="0"/>
        <w:spacing w:after="120"/>
        <w:jc w:val="center"/>
        <w:rPr>
          <w:b/>
          <w:bCs/>
        </w:rPr>
      </w:pPr>
      <w:r w:rsidRPr="00CB3115">
        <w:rPr>
          <w:b/>
          <w:bCs/>
        </w:rPr>
        <w:t xml:space="preserve">Obecné požadavky na výstavbu </w:t>
      </w:r>
    </w:p>
    <w:p w:rsidR="00BC4B4C" w:rsidRPr="00CB3115" w:rsidRDefault="007726E7" w:rsidP="00BC4B4C">
      <w:pPr>
        <w:widowControl w:val="0"/>
        <w:autoSpaceDE w:val="0"/>
        <w:autoSpaceDN w:val="0"/>
        <w:adjustRightInd w:val="0"/>
        <w:spacing w:after="120"/>
      </w:pPr>
      <w:r w:rsidRPr="00CB3115">
        <w:tab/>
        <w:t>(1)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hyperlink r:id="rId9" w:history="1">
        <w:r w:rsidRPr="00CB3115">
          <w:t>§ 2 odst. 2 písm. e)</w:t>
        </w:r>
      </w:hyperlink>
      <w:r w:rsidR="00686900">
        <w:t xml:space="preserve"> stavebního zákona</w:t>
      </w:r>
      <w:r w:rsidRPr="00CB3115">
        <w:t xml:space="preserve">] stanovené prováděcími právními předpisy. </w:t>
      </w:r>
    </w:p>
    <w:p w:rsidR="00BC4B4C" w:rsidRPr="00CB3115" w:rsidRDefault="007726E7" w:rsidP="00BC4B4C">
      <w:pPr>
        <w:widowControl w:val="0"/>
        <w:autoSpaceDE w:val="0"/>
        <w:autoSpaceDN w:val="0"/>
        <w:adjustRightInd w:val="0"/>
        <w:spacing w:after="120"/>
      </w:pPr>
      <w:r w:rsidRPr="00CB3115">
        <w:t xml:space="preserve"> </w:t>
      </w:r>
      <w:r w:rsidRPr="00CB3115">
        <w:tab/>
        <w:t xml:space="preserve">(2)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 </w:t>
      </w:r>
    </w:p>
    <w:p w:rsidR="00BC4B4C" w:rsidRDefault="007726E7" w:rsidP="00BC4B4C">
      <w:pPr>
        <w:widowControl w:val="0"/>
        <w:autoSpaceDE w:val="0"/>
        <w:autoSpaceDN w:val="0"/>
        <w:adjustRightInd w:val="0"/>
        <w:spacing w:after="120"/>
      </w:pPr>
      <w:r w:rsidRPr="00CB3115">
        <w:t xml:space="preserve"> </w:t>
      </w:r>
      <w:r w:rsidRPr="00CB3115">
        <w:tab/>
        <w:t>(3) O výjimce z obecných požadavků na využívání území při pořizování územního plánu a</w:t>
      </w:r>
      <w:r w:rsidR="009E2617">
        <w:t> </w:t>
      </w:r>
      <w:r w:rsidRPr="00CB3115">
        <w:t xml:space="preserve">regulačního plánu rozhoduje příslušný pořizovatel. O výjimce z obecných požadavků na využívání území při stanovení požadavků na vymezování pozemků a umisťování staveb na nich rozhoduje stavební úřad příslušný rozhodnout ve věci. </w:t>
      </w:r>
    </w:p>
    <w:p w:rsidR="00BC4B4C" w:rsidRPr="00CB3115" w:rsidRDefault="007726E7" w:rsidP="00BC4B4C">
      <w:pPr>
        <w:widowControl w:val="0"/>
        <w:autoSpaceDE w:val="0"/>
        <w:autoSpaceDN w:val="0"/>
        <w:adjustRightInd w:val="0"/>
        <w:spacing w:after="120"/>
      </w:pPr>
      <w:r w:rsidRPr="00CB3115">
        <w:t xml:space="preserve"> </w:t>
      </w:r>
      <w:r w:rsidRPr="00CB3115">
        <w:tab/>
        <w:t xml:space="preserve">(4) O výjimce z technických požadavků na stavby a technických požadavků zabezpečujících bezbariérové užívání stavby rozhoduje stavební úřad příslušný rozhodnout ve věci. </w:t>
      </w:r>
    </w:p>
    <w:p w:rsidR="00BC4B4C" w:rsidRPr="00CB3115" w:rsidRDefault="007726E7" w:rsidP="00BC4B4C">
      <w:pPr>
        <w:widowControl w:val="0"/>
        <w:autoSpaceDE w:val="0"/>
        <w:autoSpaceDN w:val="0"/>
        <w:adjustRightInd w:val="0"/>
        <w:spacing w:after="120"/>
      </w:pPr>
      <w:r w:rsidRPr="00CB3115">
        <w:lastRenderedPageBreak/>
        <w:t xml:space="preserve"> </w:t>
      </w:r>
      <w:r w:rsidRPr="00CB3115">
        <w:tab/>
        <w:t xml:space="preserve">(5) Řízení o výjimce se vede na žádost buď samostatně, nebo může být spojeno s územním, stavebním nebo jiným řízením podle tohoto zákona; nemusí však být ukončeno společným správním aktem. </w:t>
      </w:r>
    </w:p>
    <w:p w:rsidR="00BC4B4C" w:rsidRPr="00CB3115" w:rsidRDefault="007726E7" w:rsidP="00BC4B4C">
      <w:pPr>
        <w:widowControl w:val="0"/>
        <w:autoSpaceDE w:val="0"/>
        <w:autoSpaceDN w:val="0"/>
        <w:adjustRightInd w:val="0"/>
        <w:spacing w:after="120"/>
      </w:pPr>
      <w:r w:rsidRPr="00CB3115">
        <w:t xml:space="preserve"> </w:t>
      </w:r>
      <w:r w:rsidRPr="00CB3115">
        <w:tab/>
        <w:t xml:space="preserve">(6) Rozhodnutí o povolení výjimky nebo odchylného řešení podle </w:t>
      </w:r>
      <w:hyperlink r:id="rId10" w:history="1">
        <w:r w:rsidRPr="00CB3115">
          <w:t>odstavců 2 až 5</w:t>
        </w:r>
      </w:hyperlink>
      <w:r w:rsidRPr="00CB3115">
        <w:t xml:space="preserve"> lze vydat jen v dohodě nebo se souhlasem dotčeného orgánu, který hájí zájmy chráněné podle zvláštních právních předpisů, kterých se odchylné řešení týká.</w:t>
      </w:r>
    </w:p>
    <w:p w:rsidR="00BC4B4C" w:rsidRPr="003F321A" w:rsidRDefault="00BC4B4C" w:rsidP="003F321A">
      <w:pPr>
        <w:widowControl w:val="0"/>
        <w:autoSpaceDE w:val="0"/>
        <w:autoSpaceDN w:val="0"/>
        <w:adjustRightInd w:val="0"/>
        <w:rPr>
          <w:bCs/>
          <w:sz w:val="24"/>
          <w:szCs w:val="24"/>
        </w:rPr>
      </w:pPr>
    </w:p>
    <w:p w:rsidR="00BC4B4C" w:rsidRPr="003F321A" w:rsidRDefault="00BC4B4C" w:rsidP="003F321A">
      <w:pPr>
        <w:widowControl w:val="0"/>
        <w:autoSpaceDE w:val="0"/>
        <w:autoSpaceDN w:val="0"/>
        <w:adjustRightInd w:val="0"/>
        <w:rPr>
          <w:bCs/>
          <w:sz w:val="24"/>
          <w:szCs w:val="24"/>
        </w:rPr>
      </w:pPr>
    </w:p>
    <w:p w:rsidR="00BC4B4C" w:rsidRDefault="007726E7" w:rsidP="00BC4B4C">
      <w:pPr>
        <w:pStyle w:val="Odstavecseseznamem"/>
        <w:numPr>
          <w:ilvl w:val="0"/>
          <w:numId w:val="2"/>
        </w:numPr>
        <w:spacing w:after="120"/>
        <w:rPr>
          <w:rFonts w:ascii="Arial" w:hAnsi="Arial" w:cs="Arial"/>
          <w:b/>
          <w:sz w:val="24"/>
          <w:szCs w:val="24"/>
          <w:lang w:eastAsia="cs-CZ"/>
        </w:rPr>
      </w:pPr>
      <w:r w:rsidRPr="00CB3115">
        <w:rPr>
          <w:rFonts w:ascii="Arial" w:hAnsi="Arial" w:cs="Arial"/>
          <w:b/>
          <w:sz w:val="24"/>
          <w:szCs w:val="24"/>
          <w:lang w:eastAsia="cs-CZ"/>
        </w:rPr>
        <w:t>Výklad zákonn</w:t>
      </w:r>
      <w:r w:rsidR="005C2193">
        <w:rPr>
          <w:rFonts w:ascii="Arial" w:hAnsi="Arial" w:cs="Arial"/>
          <w:b/>
          <w:sz w:val="24"/>
          <w:szCs w:val="24"/>
          <w:lang w:eastAsia="cs-CZ"/>
        </w:rPr>
        <w:t xml:space="preserve">ých </w:t>
      </w:r>
      <w:r w:rsidRPr="00CB3115">
        <w:rPr>
          <w:rFonts w:ascii="Arial" w:hAnsi="Arial" w:cs="Arial"/>
          <w:b/>
          <w:sz w:val="24"/>
          <w:szCs w:val="24"/>
          <w:lang w:eastAsia="cs-CZ"/>
        </w:rPr>
        <w:t>ustanovení</w:t>
      </w:r>
    </w:p>
    <w:p w:rsidR="00686900" w:rsidRPr="00E05441" w:rsidRDefault="00686900" w:rsidP="00686900">
      <w:pPr>
        <w:spacing w:after="120"/>
        <w:rPr>
          <w:b/>
          <w:sz w:val="22"/>
          <w:szCs w:val="22"/>
          <w:lang w:eastAsia="cs-CZ"/>
        </w:rPr>
      </w:pPr>
      <w:r w:rsidRPr="00E05441">
        <w:rPr>
          <w:b/>
          <w:sz w:val="22"/>
          <w:szCs w:val="22"/>
          <w:lang w:eastAsia="cs-CZ"/>
        </w:rPr>
        <w:t>3.1.  K § 2 odst. 2 stavebního zákona</w:t>
      </w:r>
    </w:p>
    <w:p w:rsidR="00686900" w:rsidRDefault="00686900" w:rsidP="00686900">
      <w:pPr>
        <w:rPr>
          <w:bCs/>
        </w:rPr>
      </w:pPr>
      <w:r>
        <w:rPr>
          <w:bCs/>
        </w:rPr>
        <w:t>O</w:t>
      </w:r>
      <w:r w:rsidRPr="00CB3115">
        <w:rPr>
          <w:bCs/>
        </w:rPr>
        <w:t xml:space="preserve">becnými požadavky na výstavbu </w:t>
      </w:r>
      <w:r>
        <w:rPr>
          <w:bCs/>
        </w:rPr>
        <w:t>se rozumí:</w:t>
      </w:r>
    </w:p>
    <w:p w:rsidR="00686900" w:rsidRPr="00686900" w:rsidRDefault="00686900" w:rsidP="00686900">
      <w:pPr>
        <w:pStyle w:val="Odstavecseseznamem"/>
        <w:numPr>
          <w:ilvl w:val="0"/>
          <w:numId w:val="9"/>
        </w:numPr>
        <w:spacing w:after="0" w:line="240" w:lineRule="auto"/>
        <w:rPr>
          <w:rFonts w:ascii="Arial" w:hAnsi="Arial" w:cs="Arial"/>
          <w:b/>
          <w:sz w:val="20"/>
          <w:szCs w:val="20"/>
          <w:u w:val="single"/>
          <w:lang w:eastAsia="cs-CZ"/>
        </w:rPr>
      </w:pPr>
      <w:r w:rsidRPr="00686900">
        <w:rPr>
          <w:rFonts w:ascii="Arial" w:hAnsi="Arial" w:cs="Arial"/>
          <w:bCs/>
          <w:sz w:val="20"/>
          <w:szCs w:val="20"/>
        </w:rPr>
        <w:t>obecné požadavky na využívání území, které jsou stanoveny ve vyhlášce č. 501/2006 Sb., o obecných požadavcích na využívání území, ve znění pozdějších předpisů</w:t>
      </w:r>
      <w:r w:rsidR="00DB599C">
        <w:rPr>
          <w:rFonts w:ascii="Arial" w:hAnsi="Arial" w:cs="Arial"/>
          <w:bCs/>
          <w:sz w:val="20"/>
          <w:szCs w:val="20"/>
        </w:rPr>
        <w:t>,</w:t>
      </w:r>
    </w:p>
    <w:p w:rsidR="00686900" w:rsidRPr="00686900" w:rsidRDefault="00686900" w:rsidP="00686900">
      <w:pPr>
        <w:pStyle w:val="Odstavecseseznamem"/>
        <w:numPr>
          <w:ilvl w:val="0"/>
          <w:numId w:val="9"/>
        </w:numPr>
        <w:spacing w:after="0" w:line="240" w:lineRule="auto"/>
        <w:jc w:val="both"/>
        <w:rPr>
          <w:rFonts w:ascii="Arial" w:hAnsi="Arial" w:cs="Arial"/>
          <w:b/>
          <w:sz w:val="20"/>
          <w:szCs w:val="20"/>
          <w:u w:val="single"/>
          <w:lang w:eastAsia="cs-CZ"/>
        </w:rPr>
      </w:pPr>
      <w:r w:rsidRPr="00686900">
        <w:rPr>
          <w:rFonts w:ascii="Arial" w:hAnsi="Arial" w:cs="Arial"/>
          <w:bCs/>
          <w:sz w:val="20"/>
          <w:szCs w:val="20"/>
        </w:rPr>
        <w:t>technické požadavky na stavby</w:t>
      </w:r>
      <w:r>
        <w:rPr>
          <w:rFonts w:ascii="Arial" w:hAnsi="Arial" w:cs="Arial"/>
          <w:bCs/>
          <w:sz w:val="20"/>
          <w:szCs w:val="20"/>
        </w:rPr>
        <w:t>, které jsou stanoveny ve vyhlášce č. 268/2009 Sb., o</w:t>
      </w:r>
      <w:r w:rsidR="00DB599C">
        <w:rPr>
          <w:rFonts w:ascii="Arial" w:hAnsi="Arial" w:cs="Arial"/>
          <w:bCs/>
          <w:sz w:val="20"/>
          <w:szCs w:val="20"/>
        </w:rPr>
        <w:t> </w:t>
      </w:r>
      <w:r>
        <w:rPr>
          <w:rFonts w:ascii="Arial" w:hAnsi="Arial" w:cs="Arial"/>
          <w:bCs/>
          <w:sz w:val="20"/>
          <w:szCs w:val="20"/>
        </w:rPr>
        <w:t>technických požadavcích na stavby, ve znění vyhlášky č. 20/</w:t>
      </w:r>
      <w:r w:rsidR="00DB599C">
        <w:rPr>
          <w:rFonts w:ascii="Arial" w:hAnsi="Arial" w:cs="Arial"/>
          <w:bCs/>
          <w:sz w:val="20"/>
          <w:szCs w:val="20"/>
        </w:rPr>
        <w:t>2012 Sb.,</w:t>
      </w:r>
      <w:r>
        <w:rPr>
          <w:rFonts w:ascii="Arial" w:hAnsi="Arial" w:cs="Arial"/>
          <w:bCs/>
          <w:sz w:val="20"/>
          <w:szCs w:val="20"/>
        </w:rPr>
        <w:t xml:space="preserve"> </w:t>
      </w:r>
    </w:p>
    <w:p w:rsidR="00DB599C" w:rsidRPr="00DB599C" w:rsidRDefault="00686900" w:rsidP="00DB599C">
      <w:pPr>
        <w:pStyle w:val="Odstavecseseznamem"/>
        <w:numPr>
          <w:ilvl w:val="0"/>
          <w:numId w:val="9"/>
        </w:numPr>
        <w:spacing w:after="120" w:line="240" w:lineRule="auto"/>
        <w:ind w:left="714" w:hanging="357"/>
        <w:jc w:val="both"/>
        <w:rPr>
          <w:i/>
          <w:lang w:eastAsia="cs-CZ"/>
        </w:rPr>
      </w:pPr>
      <w:r w:rsidRPr="00686900">
        <w:rPr>
          <w:rFonts w:ascii="Arial" w:hAnsi="Arial" w:cs="Arial"/>
          <w:bCs/>
          <w:sz w:val="20"/>
          <w:szCs w:val="20"/>
        </w:rPr>
        <w:t>obecné technické požadavky zabezpečující</w:t>
      </w:r>
      <w:r w:rsidR="00DB599C">
        <w:rPr>
          <w:rFonts w:ascii="Arial" w:hAnsi="Arial" w:cs="Arial"/>
          <w:bCs/>
          <w:sz w:val="20"/>
          <w:szCs w:val="20"/>
        </w:rPr>
        <w:t xml:space="preserve"> bezbariérové užívání staveb, které jsou stanoveny ve vyhlášce č. 398/2009 Sb.</w:t>
      </w:r>
    </w:p>
    <w:p w:rsidR="00DB599C" w:rsidRPr="00DB599C" w:rsidRDefault="00DB599C" w:rsidP="00DB599C">
      <w:pPr>
        <w:spacing w:after="120"/>
        <w:rPr>
          <w:i/>
          <w:lang w:eastAsia="cs-CZ"/>
        </w:rPr>
      </w:pPr>
      <w:r w:rsidRPr="00DB599C">
        <w:rPr>
          <w:i/>
          <w:lang w:eastAsia="cs-CZ"/>
        </w:rPr>
        <w:t xml:space="preserve">Poznámka: Na území hlavního města Prahy </w:t>
      </w:r>
      <w:r>
        <w:rPr>
          <w:i/>
          <w:lang w:eastAsia="cs-CZ"/>
        </w:rPr>
        <w:t>s účinností od 1. srpna 2016 obecné požadavky na využívání území a technické požadavky na stavby stanoví nařízení hl. m. Prah</w:t>
      </w:r>
      <w:r w:rsidR="006C657A">
        <w:rPr>
          <w:i/>
          <w:lang w:eastAsia="cs-CZ"/>
        </w:rPr>
        <w:t>y</w:t>
      </w:r>
      <w:r>
        <w:rPr>
          <w:i/>
          <w:lang w:eastAsia="cs-CZ"/>
        </w:rPr>
        <w:t xml:space="preserve"> č. 10/2016 Sb., hl. m. Prahy, kterým se stanovují obecné požadavky na využívání území a technické požadavky na stavby v hlavním městě Praze (pražské stavební předpisy).  </w:t>
      </w:r>
    </w:p>
    <w:p w:rsidR="00B03EAB" w:rsidRDefault="00B03EAB" w:rsidP="00E05441">
      <w:pPr>
        <w:spacing w:after="120"/>
        <w:rPr>
          <w:b/>
          <w:u w:val="single"/>
          <w:lang w:eastAsia="cs-CZ"/>
        </w:rPr>
      </w:pPr>
    </w:p>
    <w:p w:rsidR="005C2193" w:rsidRPr="00E05441" w:rsidRDefault="005C2193" w:rsidP="005C2193">
      <w:pPr>
        <w:spacing w:after="120"/>
        <w:rPr>
          <w:b/>
          <w:sz w:val="22"/>
          <w:szCs w:val="22"/>
          <w:lang w:eastAsia="cs-CZ"/>
        </w:rPr>
      </w:pPr>
      <w:r w:rsidRPr="00E05441">
        <w:rPr>
          <w:b/>
          <w:sz w:val="22"/>
          <w:szCs w:val="22"/>
          <w:lang w:eastAsia="cs-CZ"/>
        </w:rPr>
        <w:t xml:space="preserve">3.2.  K § </w:t>
      </w:r>
      <w:r w:rsidR="00F379BE">
        <w:rPr>
          <w:b/>
          <w:sz w:val="22"/>
          <w:szCs w:val="22"/>
          <w:lang w:eastAsia="cs-CZ"/>
        </w:rPr>
        <w:t>169</w:t>
      </w:r>
      <w:r w:rsidRPr="00E05441">
        <w:rPr>
          <w:b/>
          <w:sz w:val="22"/>
          <w:szCs w:val="22"/>
          <w:lang w:eastAsia="cs-CZ"/>
        </w:rPr>
        <w:t xml:space="preserve"> stavebního zákona</w:t>
      </w:r>
    </w:p>
    <w:p w:rsidR="00BC4B4C" w:rsidRPr="00346EF0" w:rsidRDefault="007726E7" w:rsidP="005C2193">
      <w:r w:rsidRPr="00346EF0">
        <w:rPr>
          <w:lang w:eastAsia="cs-CZ"/>
        </w:rPr>
        <w:t xml:space="preserve">Výjimku z obecných požadavků na výstavbu nebo odchylné řešení od územního plánu nebo regulačního plánu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 </w:t>
      </w:r>
      <w:r w:rsidR="001B16EE">
        <w:rPr>
          <w:lang w:eastAsia="cs-CZ"/>
        </w:rPr>
        <w:t xml:space="preserve">Na povolení výjimky není právní nárok, výjimku lze povolit v jednotlivém případě, a při současném splnění výše uvedených podmínek. </w:t>
      </w:r>
      <w:r w:rsidRPr="00346EF0">
        <w:rPr>
          <w:lang w:eastAsia="cs-CZ"/>
        </w:rPr>
        <w:t>O výjimce z obecných požadavků na využívání území při pořizování územního plánu a regulačního plánu rozhoduje příslušný pořizovatel. O výjimce z</w:t>
      </w:r>
      <w:r w:rsidR="009E2617">
        <w:rPr>
          <w:lang w:eastAsia="cs-CZ"/>
        </w:rPr>
        <w:t> </w:t>
      </w:r>
      <w:r w:rsidRPr="00346EF0">
        <w:rPr>
          <w:lang w:eastAsia="cs-CZ"/>
        </w:rPr>
        <w:t xml:space="preserve">obecných požadavků na využívání území pro územní řízení rozhoduje stavební úřad příslušný rozhodnout ve věci. O výjimce z technických požadavků na stavby a technických požadavků zabezpečujících bezbariérové užívání stavby rozhoduje stavební úřad příslušný rozhodnout ve věci. </w:t>
      </w:r>
    </w:p>
    <w:p w:rsidR="00BC4B4C" w:rsidRPr="00346EF0" w:rsidRDefault="007726E7" w:rsidP="00BC4B4C">
      <w:pPr>
        <w:spacing w:after="120"/>
        <w:rPr>
          <w:lang w:eastAsia="cs-CZ"/>
        </w:rPr>
      </w:pPr>
      <w:r w:rsidRPr="00346EF0">
        <w:rPr>
          <w:lang w:eastAsia="cs-CZ"/>
        </w:rPr>
        <w:t>Řízení o výjimce se vede vždy na žádost - buď samostatně, nebo může být spojeno s územním, stavebním nebo jiným řízením podle stavebního zákona (společné řízení dle § 140 správního řádu); nemusí však být ukončeno společným správním aktem. Rozhodnutí o povolení výjimky nebo odchylného řešení lze vydat jen v dohodě nebo se souhlasem dotčeného orgánu, který hájí zájmy chráněné podle zvláštních právních předpisů, kterých se odchylné řešení týká.</w:t>
      </w:r>
    </w:p>
    <w:p w:rsidR="00BC4B4C" w:rsidRPr="00346EF0" w:rsidRDefault="007726E7" w:rsidP="00B03EAB">
      <w:pPr>
        <w:rPr>
          <w:lang w:eastAsia="cs-CZ"/>
        </w:rPr>
      </w:pPr>
      <w:r w:rsidRPr="00346EF0">
        <w:rPr>
          <w:lang w:eastAsia="cs-CZ"/>
        </w:rPr>
        <w:t>Výjimky lze povolit na základě:</w:t>
      </w:r>
    </w:p>
    <w:p w:rsidR="00BC4B4C" w:rsidRPr="00346EF0" w:rsidRDefault="007726E7" w:rsidP="00BC4B4C">
      <w:pPr>
        <w:pStyle w:val="Odstavecseseznamem"/>
        <w:numPr>
          <w:ilvl w:val="0"/>
          <w:numId w:val="4"/>
        </w:numPr>
        <w:jc w:val="both"/>
        <w:rPr>
          <w:rFonts w:ascii="Arial" w:hAnsi="Arial" w:cs="Arial"/>
          <w:sz w:val="20"/>
          <w:szCs w:val="20"/>
        </w:rPr>
      </w:pPr>
      <w:r w:rsidRPr="00346EF0">
        <w:rPr>
          <w:rFonts w:ascii="Arial" w:hAnsi="Arial" w:cs="Arial"/>
          <w:sz w:val="20"/>
          <w:szCs w:val="20"/>
        </w:rPr>
        <w:t>§ 26 vyhlášky č. 501/2006 Sb., o obecných požadavcích na využívání území</w:t>
      </w:r>
      <w:r w:rsidR="00684174">
        <w:rPr>
          <w:rFonts w:ascii="Arial" w:hAnsi="Arial" w:cs="Arial"/>
          <w:sz w:val="20"/>
          <w:szCs w:val="20"/>
        </w:rPr>
        <w:t>,</w:t>
      </w:r>
      <w:r w:rsidRPr="00346EF0">
        <w:rPr>
          <w:rFonts w:ascii="Arial" w:hAnsi="Arial" w:cs="Arial"/>
          <w:sz w:val="20"/>
          <w:szCs w:val="20"/>
        </w:rPr>
        <w:t xml:space="preserve"> ve znění pozdějších předpisů</w:t>
      </w:r>
      <w:r w:rsidR="00684174">
        <w:rPr>
          <w:rFonts w:ascii="Arial" w:hAnsi="Arial" w:cs="Arial"/>
          <w:sz w:val="20"/>
          <w:szCs w:val="20"/>
        </w:rPr>
        <w:t>,</w:t>
      </w:r>
      <w:r w:rsidRPr="00346EF0">
        <w:rPr>
          <w:rFonts w:ascii="Arial" w:hAnsi="Arial" w:cs="Arial"/>
          <w:sz w:val="20"/>
          <w:szCs w:val="20"/>
        </w:rPr>
        <w:t xml:space="preserve"> z jejích ustanovení § 20 odst. 3, 5, 7; § 21 odst. 4; § 23 odst. 2; § 24 odst. 1 a 3; § 24a odst. 2 a 3 a § 25 odst. 2 až 7;</w:t>
      </w:r>
    </w:p>
    <w:p w:rsidR="00BC4B4C" w:rsidRDefault="007726E7" w:rsidP="00BC4B4C">
      <w:pPr>
        <w:pStyle w:val="Odstavecseseznamem"/>
        <w:numPr>
          <w:ilvl w:val="0"/>
          <w:numId w:val="4"/>
        </w:numPr>
        <w:jc w:val="both"/>
        <w:rPr>
          <w:rFonts w:ascii="Arial" w:hAnsi="Arial" w:cs="Arial"/>
          <w:sz w:val="20"/>
          <w:szCs w:val="20"/>
        </w:rPr>
      </w:pPr>
      <w:r w:rsidRPr="00346EF0">
        <w:rPr>
          <w:rFonts w:ascii="Arial" w:hAnsi="Arial" w:cs="Arial"/>
          <w:sz w:val="20"/>
          <w:szCs w:val="20"/>
        </w:rPr>
        <w:t>§ 54 vyhlášky č. 268/2009 Sb., o technických požadavcích na stavby</w:t>
      </w:r>
      <w:r w:rsidR="00684174">
        <w:rPr>
          <w:rFonts w:ascii="Arial" w:hAnsi="Arial" w:cs="Arial"/>
          <w:sz w:val="20"/>
          <w:szCs w:val="20"/>
        </w:rPr>
        <w:t>,</w:t>
      </w:r>
      <w:r w:rsidRPr="00346EF0">
        <w:rPr>
          <w:rFonts w:ascii="Arial" w:hAnsi="Arial" w:cs="Arial"/>
          <w:sz w:val="20"/>
          <w:szCs w:val="20"/>
        </w:rPr>
        <w:t xml:space="preserve"> ve znění</w:t>
      </w:r>
      <w:r w:rsidR="006664B9">
        <w:rPr>
          <w:rFonts w:ascii="Arial" w:hAnsi="Arial" w:cs="Arial"/>
          <w:sz w:val="20"/>
          <w:szCs w:val="20"/>
        </w:rPr>
        <w:t xml:space="preserve"> </w:t>
      </w:r>
      <w:r w:rsidR="00684174">
        <w:rPr>
          <w:rFonts w:ascii="Arial" w:hAnsi="Arial" w:cs="Arial"/>
          <w:sz w:val="20"/>
          <w:szCs w:val="20"/>
        </w:rPr>
        <w:t>vyhlášky č.</w:t>
      </w:r>
      <w:r w:rsidR="009E2617">
        <w:rPr>
          <w:rFonts w:ascii="Arial" w:hAnsi="Arial" w:cs="Arial"/>
          <w:sz w:val="20"/>
          <w:szCs w:val="20"/>
        </w:rPr>
        <w:t> </w:t>
      </w:r>
      <w:r w:rsidR="00684174">
        <w:rPr>
          <w:rFonts w:ascii="Arial" w:hAnsi="Arial" w:cs="Arial"/>
          <w:sz w:val="20"/>
          <w:szCs w:val="20"/>
        </w:rPr>
        <w:t>20/2012 Sb.,</w:t>
      </w:r>
      <w:r w:rsidRPr="00346EF0">
        <w:rPr>
          <w:rFonts w:ascii="Arial" w:hAnsi="Arial" w:cs="Arial"/>
          <w:sz w:val="20"/>
          <w:szCs w:val="20"/>
        </w:rPr>
        <w:t xml:space="preserve"> z jejích ustanovení § 5 odst. 2; § 10 odst. 3 a 5; § 11 odst. 2; § 12 odst. 2; § 13 odst. 2; § 18 odst. 6; § 40 odst. 4; § 41 odst. 5 a § 44 odst. 2;</w:t>
      </w:r>
    </w:p>
    <w:p w:rsidR="00383CAD" w:rsidRPr="00B03EAB" w:rsidRDefault="007726E7" w:rsidP="00346EF0">
      <w:pPr>
        <w:pStyle w:val="Odstavecseseznamem"/>
        <w:numPr>
          <w:ilvl w:val="0"/>
          <w:numId w:val="4"/>
        </w:numPr>
        <w:jc w:val="both"/>
        <w:rPr>
          <w:rFonts w:ascii="Arial" w:hAnsi="Arial" w:cs="Arial"/>
          <w:strike/>
          <w:sz w:val="20"/>
          <w:szCs w:val="20"/>
        </w:rPr>
      </w:pPr>
      <w:r w:rsidRPr="00346EF0">
        <w:rPr>
          <w:rFonts w:ascii="Arial" w:hAnsi="Arial" w:cs="Arial"/>
          <w:sz w:val="20"/>
          <w:szCs w:val="20"/>
        </w:rPr>
        <w:t>§ 14 vyhlášky č. 398/2009 Sb., o obecných technických požadavcích zabezpečujících bezbariérové užívání staveb</w:t>
      </w:r>
      <w:r w:rsidR="00684174">
        <w:rPr>
          <w:rFonts w:ascii="Arial" w:hAnsi="Arial" w:cs="Arial"/>
          <w:sz w:val="20"/>
          <w:szCs w:val="20"/>
        </w:rPr>
        <w:t>,</w:t>
      </w:r>
      <w:r w:rsidRPr="00346EF0">
        <w:rPr>
          <w:rFonts w:ascii="Arial" w:hAnsi="Arial" w:cs="Arial"/>
          <w:sz w:val="20"/>
          <w:szCs w:val="20"/>
        </w:rPr>
        <w:t xml:space="preserve"> z jejích ustanovení v Příloze č. 1 – bod 2.0.2, </w:t>
      </w:r>
      <w:r w:rsidR="00B03EAB">
        <w:rPr>
          <w:rFonts w:ascii="Arial" w:hAnsi="Arial" w:cs="Arial"/>
          <w:sz w:val="20"/>
          <w:szCs w:val="20"/>
        </w:rPr>
        <w:t xml:space="preserve">v </w:t>
      </w:r>
      <w:r w:rsidRPr="00346EF0">
        <w:rPr>
          <w:rFonts w:ascii="Arial" w:hAnsi="Arial" w:cs="Arial"/>
          <w:sz w:val="20"/>
          <w:szCs w:val="20"/>
        </w:rPr>
        <w:t>Příloze č. 2 – bod 1.0.2; 1.1.2; 1.1.3; 1.1.5; 1.2.1; 2.0.1; 2.0.2; 2.1.1; 3.1 a v Příloze č. 3 – bod 1.1.2; 2.1.1 až 2.1.3.</w:t>
      </w:r>
    </w:p>
    <w:tbl>
      <w:tblPr>
        <w:tblStyle w:val="Mkatabulky"/>
        <w:tblW w:w="9924" w:type="dxa"/>
        <w:tblInd w:w="-318" w:type="dxa"/>
        <w:tblLayout w:type="fixed"/>
        <w:tblLook w:val="04A0" w:firstRow="1" w:lastRow="0" w:firstColumn="1" w:lastColumn="0" w:noHBand="0" w:noVBand="1"/>
      </w:tblPr>
      <w:tblGrid>
        <w:gridCol w:w="993"/>
        <w:gridCol w:w="6096"/>
        <w:gridCol w:w="2835"/>
      </w:tblGrid>
      <w:tr w:rsidR="00383CAD" w:rsidRPr="00CB3115" w:rsidTr="00383CAD">
        <w:tc>
          <w:tcPr>
            <w:tcW w:w="993" w:type="dxa"/>
          </w:tcPr>
          <w:p w:rsidR="00383CAD" w:rsidRPr="00CB3115" w:rsidRDefault="007726E7" w:rsidP="00383CAD">
            <w:pPr>
              <w:jc w:val="center"/>
              <w:rPr>
                <w:b/>
              </w:rPr>
            </w:pPr>
            <w:r w:rsidRPr="00CB3115">
              <w:rPr>
                <w:b/>
              </w:rPr>
              <w:lastRenderedPageBreak/>
              <w:t>Předpis</w:t>
            </w:r>
          </w:p>
        </w:tc>
        <w:tc>
          <w:tcPr>
            <w:tcW w:w="6096" w:type="dxa"/>
          </w:tcPr>
          <w:p w:rsidR="00383CAD" w:rsidRPr="00CB3115" w:rsidRDefault="007726E7" w:rsidP="00383CAD">
            <w:pPr>
              <w:jc w:val="center"/>
              <w:rPr>
                <w:b/>
              </w:rPr>
            </w:pPr>
            <w:r w:rsidRPr="00CB3115">
              <w:rPr>
                <w:b/>
              </w:rPr>
              <w:t>Znění ustanovení</w:t>
            </w:r>
          </w:p>
        </w:tc>
        <w:tc>
          <w:tcPr>
            <w:tcW w:w="2835" w:type="dxa"/>
          </w:tcPr>
          <w:p w:rsidR="00383CAD" w:rsidRPr="00CB3115" w:rsidRDefault="007726E7" w:rsidP="00383CAD">
            <w:pPr>
              <w:jc w:val="center"/>
              <w:rPr>
                <w:b/>
              </w:rPr>
            </w:pPr>
            <w:r w:rsidRPr="00CB3115">
              <w:rPr>
                <w:b/>
              </w:rPr>
              <w:t>Podrobnosti</w:t>
            </w:r>
          </w:p>
        </w:tc>
      </w:tr>
      <w:tr w:rsidR="00383CAD" w:rsidRPr="00CB3115" w:rsidTr="00383CAD">
        <w:tc>
          <w:tcPr>
            <w:tcW w:w="993" w:type="dxa"/>
            <w:vMerge w:val="restart"/>
          </w:tcPr>
          <w:p w:rsidR="00383CAD" w:rsidRPr="00CB3115" w:rsidRDefault="00383CAD" w:rsidP="00383CAD">
            <w:pPr>
              <w:rPr>
                <w:b/>
                <w:sz w:val="16"/>
                <w:szCs w:val="16"/>
              </w:rPr>
            </w:pPr>
          </w:p>
          <w:p w:rsidR="00383CAD" w:rsidRPr="00CB3115" w:rsidRDefault="007726E7" w:rsidP="00383CAD">
            <w:pPr>
              <w:rPr>
                <w:b/>
                <w:sz w:val="16"/>
                <w:szCs w:val="16"/>
              </w:rPr>
            </w:pPr>
            <w:r w:rsidRPr="00CB3115">
              <w:rPr>
                <w:b/>
                <w:sz w:val="16"/>
                <w:szCs w:val="16"/>
              </w:rPr>
              <w:t xml:space="preserve">Vyhláška č. </w:t>
            </w:r>
            <w:r w:rsidRPr="00C43958">
              <w:rPr>
                <w:b/>
                <w:sz w:val="16"/>
                <w:szCs w:val="16"/>
              </w:rPr>
              <w:t>501/2006 Sb.</w:t>
            </w:r>
          </w:p>
        </w:tc>
        <w:tc>
          <w:tcPr>
            <w:tcW w:w="6096" w:type="dxa"/>
          </w:tcPr>
          <w:p w:rsidR="00383CAD" w:rsidRPr="00CB3115" w:rsidRDefault="007726E7" w:rsidP="00383CAD">
            <w:pPr>
              <w:rPr>
                <w:b/>
                <w:sz w:val="16"/>
                <w:szCs w:val="16"/>
              </w:rPr>
            </w:pPr>
            <w:r w:rsidRPr="00CB3115">
              <w:rPr>
                <w:b/>
                <w:sz w:val="16"/>
                <w:szCs w:val="16"/>
              </w:rPr>
              <w:t>§ 26</w:t>
            </w:r>
          </w:p>
          <w:p w:rsidR="00383CAD" w:rsidRPr="00CB3115" w:rsidRDefault="00383CAD" w:rsidP="00383CAD">
            <w:pPr>
              <w:rPr>
                <w:sz w:val="16"/>
                <w:szCs w:val="16"/>
              </w:rPr>
            </w:pPr>
          </w:p>
          <w:p w:rsidR="00383CAD" w:rsidRPr="00CB3115" w:rsidRDefault="007726E7" w:rsidP="00383CAD">
            <w:pPr>
              <w:rPr>
                <w:b/>
                <w:sz w:val="16"/>
                <w:szCs w:val="16"/>
              </w:rPr>
            </w:pPr>
            <w:r w:rsidRPr="00CB3115">
              <w:rPr>
                <w:b/>
                <w:sz w:val="16"/>
                <w:szCs w:val="16"/>
              </w:rPr>
              <w:t>Za podmínek stanovených v </w:t>
            </w:r>
            <w:hyperlink r:id="rId11" w:history="1">
              <w:r w:rsidRPr="000B4AE9">
                <w:rPr>
                  <w:rStyle w:val="Hypertextovodkaz"/>
                  <w:b/>
                  <w:color w:val="auto"/>
                  <w:sz w:val="16"/>
                  <w:szCs w:val="16"/>
                  <w:u w:val="none"/>
                </w:rPr>
                <w:t>§ 169 stavebního zákona</w:t>
              </w:r>
            </w:hyperlink>
            <w:r w:rsidRPr="00CB3115">
              <w:rPr>
                <w:b/>
                <w:sz w:val="16"/>
                <w:szCs w:val="16"/>
              </w:rPr>
              <w:t> je možná výjimka z</w:t>
            </w:r>
            <w:r w:rsidR="00D552E1">
              <w:rPr>
                <w:b/>
                <w:sz w:val="16"/>
                <w:szCs w:val="16"/>
              </w:rPr>
              <w:t> </w:t>
            </w:r>
            <w:r w:rsidRPr="00CB3115">
              <w:rPr>
                <w:b/>
                <w:sz w:val="16"/>
                <w:szCs w:val="16"/>
              </w:rPr>
              <w:t>ustanovení § 20 odst. 3, 5 a 7, § 21 odst. 4, § 23 odst. 2, § 24 odst. 1 a 3, § 24a odst. 2 a 3, § 25 odst. 2 až 7.</w:t>
            </w:r>
          </w:p>
          <w:p w:rsidR="00383CAD" w:rsidRPr="00CB3115" w:rsidRDefault="00383CAD" w:rsidP="00383CAD">
            <w:pPr>
              <w:rPr>
                <w:sz w:val="16"/>
                <w:szCs w:val="16"/>
              </w:rPr>
            </w:pPr>
          </w:p>
        </w:tc>
        <w:tc>
          <w:tcPr>
            <w:tcW w:w="2835" w:type="dxa"/>
          </w:tcPr>
          <w:p w:rsidR="00383CAD" w:rsidRPr="00CB3115" w:rsidRDefault="00383CAD" w:rsidP="00383CAD">
            <w:pPr>
              <w:rPr>
                <w:sz w:val="16"/>
                <w:szCs w:val="16"/>
              </w:rPr>
            </w:pP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20 odst. 3</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Pozemek se vždy vymezuje tak, aby svými vlastnostmi, zejména velikostí, polohou, plošným a prostorovým uspořádáním, umožňoval využití pro navrhovaný účel a byl dopravně napojen na veřejně přístupnou pozemní komunikaci.</w:t>
            </w:r>
          </w:p>
        </w:tc>
        <w:tc>
          <w:tcPr>
            <w:tcW w:w="2835" w:type="dxa"/>
          </w:tcPr>
          <w:p w:rsidR="00383CAD" w:rsidRPr="00CB3115" w:rsidRDefault="00383CAD" w:rsidP="00383CAD">
            <w:pPr>
              <w:rPr>
                <w:sz w:val="16"/>
                <w:szCs w:val="16"/>
              </w:rPr>
            </w:pP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20 odst. 5</w:t>
            </w:r>
          </w:p>
          <w:p w:rsidR="00383CAD" w:rsidRPr="00CB3115" w:rsidRDefault="00383CAD" w:rsidP="00383CAD">
            <w:pPr>
              <w:rPr>
                <w:sz w:val="16"/>
                <w:szCs w:val="16"/>
              </w:rPr>
            </w:pPr>
          </w:p>
          <w:p w:rsidR="00CE27D4" w:rsidRDefault="007726E7" w:rsidP="009E2617">
            <w:pPr>
              <w:spacing w:before="0"/>
              <w:rPr>
                <w:sz w:val="16"/>
                <w:szCs w:val="16"/>
              </w:rPr>
            </w:pPr>
            <w:r w:rsidRPr="00CB3115">
              <w:rPr>
                <w:sz w:val="16"/>
                <w:szCs w:val="16"/>
              </w:rPr>
              <w:t>Stavební pozemek se vždy vymezuje tak, aby na něm bylo vyřešeno</w:t>
            </w:r>
          </w:p>
          <w:tbl>
            <w:tblPr>
              <w:tblW w:w="10143" w:type="dxa"/>
              <w:tblCellSpacing w:w="0" w:type="dxa"/>
              <w:shd w:val="clear" w:color="auto" w:fill="FFFFFF"/>
              <w:tblLayout w:type="fixed"/>
              <w:tblCellMar>
                <w:left w:w="0" w:type="dxa"/>
                <w:right w:w="0" w:type="dxa"/>
              </w:tblCellMar>
              <w:tblLook w:val="04A0" w:firstRow="1" w:lastRow="0" w:firstColumn="1" w:lastColumn="0" w:noHBand="0" w:noVBand="1"/>
            </w:tblPr>
            <w:tblGrid>
              <w:gridCol w:w="238"/>
              <w:gridCol w:w="9905"/>
            </w:tblGrid>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9E2617">
                  <w:pPr>
                    <w:spacing w:before="0"/>
                    <w:rPr>
                      <w:sz w:val="16"/>
                      <w:szCs w:val="16"/>
                    </w:rPr>
                  </w:pPr>
                  <w:r w:rsidRPr="00CB3115">
                    <w:rPr>
                      <w:sz w:val="16"/>
                      <w:szCs w:val="16"/>
                    </w:rPr>
                    <w:t>a)</w:t>
                  </w:r>
                </w:p>
              </w:tc>
              <w:tc>
                <w:tcPr>
                  <w:tcW w:w="9905" w:type="dxa"/>
                  <w:shd w:val="clear" w:color="auto" w:fill="FFFFFF"/>
                  <w:tcMar>
                    <w:top w:w="40" w:type="dxa"/>
                    <w:left w:w="50" w:type="dxa"/>
                    <w:bottom w:w="0" w:type="dxa"/>
                    <w:right w:w="0" w:type="dxa"/>
                  </w:tcMar>
                  <w:vAlign w:val="center"/>
                  <w:hideMark/>
                </w:tcPr>
                <w:p w:rsidR="00CE27D4" w:rsidRDefault="007726E7" w:rsidP="009E2617">
                  <w:pPr>
                    <w:spacing w:before="0"/>
                    <w:rPr>
                      <w:sz w:val="16"/>
                      <w:szCs w:val="16"/>
                    </w:rPr>
                  </w:pPr>
                  <w:r w:rsidRPr="00CB3115">
                    <w:rPr>
                      <w:sz w:val="16"/>
                      <w:szCs w:val="16"/>
                    </w:rPr>
                    <w:t xml:space="preserve">umístění odstavných a parkovacích stání pro účel využití pozemku </w:t>
                  </w:r>
                </w:p>
                <w:p w:rsidR="00CE27D4" w:rsidRDefault="007726E7" w:rsidP="009E2617">
                  <w:pPr>
                    <w:spacing w:before="0"/>
                    <w:rPr>
                      <w:sz w:val="16"/>
                      <w:szCs w:val="16"/>
                    </w:rPr>
                  </w:pPr>
                  <w:r w:rsidRPr="00CB3115">
                    <w:rPr>
                      <w:sz w:val="16"/>
                      <w:szCs w:val="16"/>
                    </w:rPr>
                    <w:t xml:space="preserve">a užívání staveb na něm umístěných v rozsahu požadavků příslušné </w:t>
                  </w:r>
                </w:p>
                <w:p w:rsidR="00CE27D4" w:rsidRDefault="007726E7" w:rsidP="009E2617">
                  <w:pPr>
                    <w:spacing w:before="0"/>
                    <w:rPr>
                      <w:sz w:val="16"/>
                      <w:szCs w:val="16"/>
                    </w:rPr>
                  </w:pPr>
                  <w:r w:rsidRPr="00CB3115">
                    <w:rPr>
                      <w:sz w:val="16"/>
                      <w:szCs w:val="16"/>
                    </w:rPr>
                    <w:t xml:space="preserve">české technické normy pro navrhování místních komunikací, </w:t>
                  </w:r>
                </w:p>
                <w:p w:rsidR="00CE27D4" w:rsidRDefault="007726E7" w:rsidP="009E2617">
                  <w:pPr>
                    <w:spacing w:before="0"/>
                    <w:rPr>
                      <w:sz w:val="16"/>
                      <w:szCs w:val="16"/>
                    </w:rPr>
                  </w:pPr>
                  <w:r w:rsidRPr="00CB3115">
                    <w:rPr>
                      <w:sz w:val="16"/>
                      <w:szCs w:val="16"/>
                    </w:rPr>
                    <w:t>což zaručuje splnění požadavků této vyhlášky,</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9E2617">
                  <w:pPr>
                    <w:spacing w:before="0"/>
                    <w:rPr>
                      <w:sz w:val="16"/>
                      <w:szCs w:val="16"/>
                    </w:rPr>
                  </w:pPr>
                  <w:r w:rsidRPr="00CB3115">
                    <w:rPr>
                      <w:sz w:val="16"/>
                      <w:szCs w:val="16"/>
                    </w:rPr>
                    <w:t>b)</w:t>
                  </w:r>
                </w:p>
              </w:tc>
              <w:tc>
                <w:tcPr>
                  <w:tcW w:w="9905" w:type="dxa"/>
                  <w:shd w:val="clear" w:color="auto" w:fill="FFFFFF"/>
                  <w:tcMar>
                    <w:top w:w="40" w:type="dxa"/>
                    <w:left w:w="50" w:type="dxa"/>
                    <w:bottom w:w="0" w:type="dxa"/>
                    <w:right w:w="0" w:type="dxa"/>
                  </w:tcMar>
                  <w:vAlign w:val="center"/>
                  <w:hideMark/>
                </w:tcPr>
                <w:p w:rsidR="00CE27D4" w:rsidRDefault="007726E7" w:rsidP="009E2617">
                  <w:pPr>
                    <w:spacing w:before="0"/>
                    <w:rPr>
                      <w:sz w:val="16"/>
                      <w:szCs w:val="16"/>
                    </w:rPr>
                  </w:pPr>
                  <w:r w:rsidRPr="00CB3115">
                    <w:rPr>
                      <w:sz w:val="16"/>
                      <w:szCs w:val="16"/>
                    </w:rPr>
                    <w:t>nakládání s odpady a odpadními vodami podle zvláštních předpisů</w:t>
                  </w:r>
                  <w:r w:rsidR="00442402">
                    <w:rPr>
                      <w:sz w:val="16"/>
                      <w:szCs w:val="16"/>
                      <w:vertAlign w:val="superscript"/>
                    </w:rPr>
                    <w:t>13)</w:t>
                  </w:r>
                </w:p>
                <w:p w:rsidR="00CE27D4" w:rsidRDefault="007726E7" w:rsidP="009E2617">
                  <w:pPr>
                    <w:spacing w:before="0"/>
                    <w:rPr>
                      <w:sz w:val="16"/>
                      <w:szCs w:val="16"/>
                    </w:rPr>
                  </w:pPr>
                  <w:r w:rsidRPr="00CB3115">
                    <w:rPr>
                      <w:sz w:val="16"/>
                      <w:szCs w:val="16"/>
                    </w:rPr>
                    <w:t xml:space="preserve">které na pozemku vznikají jeho užíváním nebo užíváním staveb na něm </w:t>
                  </w:r>
                </w:p>
                <w:p w:rsidR="00CE27D4" w:rsidRDefault="007726E7" w:rsidP="009E2617">
                  <w:pPr>
                    <w:spacing w:before="0"/>
                    <w:rPr>
                      <w:sz w:val="16"/>
                      <w:szCs w:val="16"/>
                    </w:rPr>
                  </w:pPr>
                  <w:r w:rsidRPr="00CB3115">
                    <w:rPr>
                      <w:sz w:val="16"/>
                      <w:szCs w:val="16"/>
                    </w:rPr>
                    <w:t>umístěných,</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9E2617">
                  <w:pPr>
                    <w:spacing w:before="0"/>
                    <w:rPr>
                      <w:sz w:val="16"/>
                      <w:szCs w:val="16"/>
                    </w:rPr>
                  </w:pPr>
                  <w:r w:rsidRPr="00CB3115">
                    <w:rPr>
                      <w:sz w:val="16"/>
                      <w:szCs w:val="16"/>
                    </w:rPr>
                    <w:t>c)</w:t>
                  </w:r>
                </w:p>
              </w:tc>
              <w:tc>
                <w:tcPr>
                  <w:tcW w:w="9905" w:type="dxa"/>
                  <w:shd w:val="clear" w:color="auto" w:fill="FFFFFF"/>
                  <w:tcMar>
                    <w:top w:w="40" w:type="dxa"/>
                    <w:left w:w="50" w:type="dxa"/>
                    <w:bottom w:w="0" w:type="dxa"/>
                    <w:right w:w="0" w:type="dxa"/>
                  </w:tcMar>
                  <w:vAlign w:val="center"/>
                  <w:hideMark/>
                </w:tcPr>
                <w:p w:rsidR="00CE27D4" w:rsidRDefault="007726E7" w:rsidP="009E2617">
                  <w:pPr>
                    <w:spacing w:before="0"/>
                    <w:rPr>
                      <w:sz w:val="16"/>
                      <w:szCs w:val="16"/>
                    </w:rPr>
                  </w:pPr>
                  <w:r w:rsidRPr="00CB3115">
                    <w:rPr>
                      <w:sz w:val="16"/>
                      <w:szCs w:val="16"/>
                    </w:rPr>
                    <w:t xml:space="preserve">vsakování nebo odvádění srážkových vod ze zastavěných ploch </w:t>
                  </w:r>
                </w:p>
                <w:p w:rsidR="00CE27D4" w:rsidRDefault="007726E7" w:rsidP="009E2617">
                  <w:pPr>
                    <w:spacing w:before="0"/>
                    <w:rPr>
                      <w:sz w:val="16"/>
                      <w:szCs w:val="16"/>
                    </w:rPr>
                  </w:pPr>
                  <w:r w:rsidRPr="00CB3115">
                    <w:rPr>
                      <w:sz w:val="16"/>
                      <w:szCs w:val="16"/>
                    </w:rPr>
                    <w:t xml:space="preserve">nebo zpevněných ploch, pokud se neplánuje jejich jiné využití; </w:t>
                  </w:r>
                </w:p>
                <w:p w:rsidR="00CE27D4" w:rsidRDefault="007726E7" w:rsidP="009E2617">
                  <w:pPr>
                    <w:spacing w:before="0"/>
                    <w:rPr>
                      <w:sz w:val="16"/>
                      <w:szCs w:val="16"/>
                    </w:rPr>
                  </w:pPr>
                  <w:r w:rsidRPr="00CB3115">
                    <w:rPr>
                      <w:sz w:val="16"/>
                      <w:szCs w:val="16"/>
                    </w:rPr>
                    <w:t>přitom musí být řešeno</w:t>
                  </w:r>
                </w:p>
                <w:tbl>
                  <w:tblPr>
                    <w:tblW w:w="9855" w:type="dxa"/>
                    <w:jc w:val="center"/>
                    <w:tblCellSpacing w:w="0" w:type="dxa"/>
                    <w:tblLayout w:type="fixed"/>
                    <w:tblCellMar>
                      <w:left w:w="0" w:type="dxa"/>
                      <w:right w:w="0" w:type="dxa"/>
                    </w:tblCellMar>
                    <w:tblLook w:val="04A0" w:firstRow="1" w:lastRow="0" w:firstColumn="1" w:lastColumn="0" w:noHBand="0" w:noVBand="1"/>
                  </w:tblPr>
                  <w:tblGrid>
                    <w:gridCol w:w="238"/>
                    <w:gridCol w:w="9617"/>
                  </w:tblGrid>
                  <w:tr w:rsidR="00383CAD" w:rsidRPr="00CB3115" w:rsidTr="00383CAD">
                    <w:trPr>
                      <w:tblCellSpacing w:w="0" w:type="dxa"/>
                      <w:jc w:val="center"/>
                    </w:trPr>
                    <w:tc>
                      <w:tcPr>
                        <w:tcW w:w="238" w:type="dxa"/>
                        <w:tcMar>
                          <w:top w:w="40" w:type="dxa"/>
                          <w:left w:w="0" w:type="dxa"/>
                          <w:bottom w:w="0" w:type="dxa"/>
                          <w:right w:w="0" w:type="dxa"/>
                        </w:tcMar>
                        <w:hideMark/>
                      </w:tcPr>
                      <w:p w:rsidR="00CE27D4" w:rsidRDefault="007726E7" w:rsidP="009E2617">
                        <w:pPr>
                          <w:spacing w:before="0"/>
                          <w:rPr>
                            <w:sz w:val="16"/>
                            <w:szCs w:val="16"/>
                          </w:rPr>
                        </w:pPr>
                        <w:r w:rsidRPr="00CB3115">
                          <w:rPr>
                            <w:sz w:val="16"/>
                            <w:szCs w:val="16"/>
                          </w:rPr>
                          <w:t>1.</w:t>
                        </w:r>
                      </w:p>
                    </w:tc>
                    <w:tc>
                      <w:tcPr>
                        <w:tcW w:w="9617" w:type="dxa"/>
                        <w:tcMar>
                          <w:top w:w="40" w:type="dxa"/>
                          <w:left w:w="50" w:type="dxa"/>
                          <w:bottom w:w="0" w:type="dxa"/>
                          <w:right w:w="0" w:type="dxa"/>
                        </w:tcMar>
                        <w:vAlign w:val="center"/>
                        <w:hideMark/>
                      </w:tcPr>
                      <w:p w:rsidR="00CE27D4" w:rsidRDefault="007726E7" w:rsidP="009E2617">
                        <w:pPr>
                          <w:spacing w:before="0"/>
                          <w:rPr>
                            <w:sz w:val="16"/>
                            <w:szCs w:val="16"/>
                          </w:rPr>
                        </w:pPr>
                        <w:r w:rsidRPr="00CB3115">
                          <w:rPr>
                            <w:sz w:val="16"/>
                            <w:szCs w:val="16"/>
                          </w:rPr>
                          <w:t xml:space="preserve">přednostně jejich vsakování, v případě jejich možného smísení </w:t>
                        </w:r>
                      </w:p>
                      <w:p w:rsidR="00CE27D4" w:rsidRDefault="007726E7" w:rsidP="009E2617">
                        <w:pPr>
                          <w:spacing w:before="0"/>
                          <w:rPr>
                            <w:sz w:val="16"/>
                            <w:szCs w:val="16"/>
                          </w:rPr>
                        </w:pPr>
                        <w:r w:rsidRPr="00CB3115">
                          <w:rPr>
                            <w:sz w:val="16"/>
                            <w:szCs w:val="16"/>
                          </w:rPr>
                          <w:t xml:space="preserve">se závadnými látkami umístění zařízení k jejich zachycení, </w:t>
                        </w:r>
                      </w:p>
                      <w:p w:rsidR="00CE27D4" w:rsidRDefault="007726E7" w:rsidP="009E2617">
                        <w:pPr>
                          <w:spacing w:before="0"/>
                          <w:rPr>
                            <w:sz w:val="16"/>
                            <w:szCs w:val="16"/>
                          </w:rPr>
                        </w:pPr>
                        <w:r w:rsidRPr="00CB3115">
                          <w:rPr>
                            <w:sz w:val="16"/>
                            <w:szCs w:val="16"/>
                          </w:rPr>
                          <w:t>není-li možné vsakování,</w:t>
                        </w:r>
                      </w:p>
                    </w:tc>
                  </w:tr>
                  <w:tr w:rsidR="00383CAD" w:rsidRPr="00CB3115" w:rsidTr="00383CAD">
                    <w:trPr>
                      <w:tblCellSpacing w:w="0" w:type="dxa"/>
                      <w:jc w:val="center"/>
                    </w:trPr>
                    <w:tc>
                      <w:tcPr>
                        <w:tcW w:w="238" w:type="dxa"/>
                        <w:tcMar>
                          <w:top w:w="40" w:type="dxa"/>
                          <w:left w:w="0" w:type="dxa"/>
                          <w:bottom w:w="0" w:type="dxa"/>
                          <w:right w:w="0" w:type="dxa"/>
                        </w:tcMar>
                        <w:hideMark/>
                      </w:tcPr>
                      <w:p w:rsidR="00CE27D4" w:rsidRDefault="007726E7" w:rsidP="009E2617">
                        <w:pPr>
                          <w:spacing w:before="0"/>
                          <w:rPr>
                            <w:sz w:val="16"/>
                            <w:szCs w:val="16"/>
                          </w:rPr>
                        </w:pPr>
                        <w:r w:rsidRPr="00CB3115">
                          <w:rPr>
                            <w:sz w:val="16"/>
                            <w:szCs w:val="16"/>
                          </w:rPr>
                          <w:t>2.</w:t>
                        </w:r>
                      </w:p>
                    </w:tc>
                    <w:tc>
                      <w:tcPr>
                        <w:tcW w:w="9617" w:type="dxa"/>
                        <w:tcMar>
                          <w:top w:w="40" w:type="dxa"/>
                          <w:left w:w="50" w:type="dxa"/>
                          <w:bottom w:w="0" w:type="dxa"/>
                          <w:right w:w="0" w:type="dxa"/>
                        </w:tcMar>
                        <w:vAlign w:val="center"/>
                        <w:hideMark/>
                      </w:tcPr>
                      <w:p w:rsidR="00CE27D4" w:rsidRDefault="007726E7" w:rsidP="009E2617">
                        <w:pPr>
                          <w:spacing w:before="0"/>
                          <w:rPr>
                            <w:sz w:val="16"/>
                            <w:szCs w:val="16"/>
                          </w:rPr>
                        </w:pPr>
                        <w:r w:rsidRPr="00CB3115">
                          <w:rPr>
                            <w:sz w:val="16"/>
                            <w:szCs w:val="16"/>
                          </w:rPr>
                          <w:t xml:space="preserve">jejich zadržování a regulované odvádění oddílnou kanalizací </w:t>
                        </w:r>
                      </w:p>
                      <w:p w:rsidR="00CE27D4" w:rsidRDefault="007726E7" w:rsidP="009E2617">
                        <w:pPr>
                          <w:spacing w:before="0"/>
                          <w:rPr>
                            <w:sz w:val="16"/>
                            <w:szCs w:val="16"/>
                          </w:rPr>
                        </w:pPr>
                        <w:r w:rsidRPr="00CB3115">
                          <w:rPr>
                            <w:sz w:val="16"/>
                            <w:szCs w:val="16"/>
                          </w:rPr>
                          <w:t xml:space="preserve">k odvádění srážkových vod do vod povrchových, v případě jejich </w:t>
                        </w:r>
                      </w:p>
                      <w:p w:rsidR="00CE27D4" w:rsidRDefault="007726E7" w:rsidP="009E2617">
                        <w:pPr>
                          <w:spacing w:before="0"/>
                          <w:rPr>
                            <w:sz w:val="16"/>
                            <w:szCs w:val="16"/>
                          </w:rPr>
                        </w:pPr>
                        <w:r w:rsidRPr="00CB3115">
                          <w:rPr>
                            <w:sz w:val="16"/>
                            <w:szCs w:val="16"/>
                          </w:rPr>
                          <w:t xml:space="preserve">možného smísení se závadnými látkami umístění zařízení k jejich </w:t>
                        </w:r>
                      </w:p>
                      <w:p w:rsidR="00CE27D4" w:rsidRDefault="007726E7" w:rsidP="009E2617">
                        <w:pPr>
                          <w:spacing w:before="0"/>
                          <w:rPr>
                            <w:sz w:val="16"/>
                            <w:szCs w:val="16"/>
                          </w:rPr>
                        </w:pPr>
                        <w:r w:rsidRPr="00CB3115">
                          <w:rPr>
                            <w:sz w:val="16"/>
                            <w:szCs w:val="16"/>
                          </w:rPr>
                          <w:t>zachycení, nebo</w:t>
                        </w:r>
                      </w:p>
                    </w:tc>
                  </w:tr>
                  <w:tr w:rsidR="00383CAD" w:rsidRPr="00CB3115" w:rsidTr="00383CAD">
                    <w:trPr>
                      <w:tblCellSpacing w:w="0" w:type="dxa"/>
                      <w:jc w:val="center"/>
                    </w:trPr>
                    <w:tc>
                      <w:tcPr>
                        <w:tcW w:w="238" w:type="dxa"/>
                        <w:tcMar>
                          <w:top w:w="40" w:type="dxa"/>
                          <w:left w:w="0" w:type="dxa"/>
                          <w:bottom w:w="0" w:type="dxa"/>
                          <w:right w:w="0" w:type="dxa"/>
                        </w:tcMar>
                        <w:hideMark/>
                      </w:tcPr>
                      <w:p w:rsidR="00CE27D4" w:rsidRDefault="007726E7" w:rsidP="009E2617">
                        <w:pPr>
                          <w:spacing w:before="0"/>
                          <w:rPr>
                            <w:sz w:val="16"/>
                            <w:szCs w:val="16"/>
                          </w:rPr>
                        </w:pPr>
                        <w:r w:rsidRPr="00CB3115">
                          <w:rPr>
                            <w:sz w:val="16"/>
                            <w:szCs w:val="16"/>
                          </w:rPr>
                          <w:t>3.</w:t>
                        </w:r>
                      </w:p>
                    </w:tc>
                    <w:tc>
                      <w:tcPr>
                        <w:tcW w:w="9617" w:type="dxa"/>
                        <w:tcMar>
                          <w:top w:w="40" w:type="dxa"/>
                          <w:left w:w="50" w:type="dxa"/>
                          <w:bottom w:w="0" w:type="dxa"/>
                          <w:right w:w="0" w:type="dxa"/>
                        </w:tcMar>
                        <w:vAlign w:val="center"/>
                        <w:hideMark/>
                      </w:tcPr>
                      <w:p w:rsidR="00CE27D4" w:rsidRDefault="007726E7" w:rsidP="009E2617">
                        <w:pPr>
                          <w:spacing w:before="0"/>
                          <w:rPr>
                            <w:sz w:val="16"/>
                            <w:szCs w:val="16"/>
                          </w:rPr>
                        </w:pPr>
                        <w:r w:rsidRPr="00CB3115">
                          <w:rPr>
                            <w:sz w:val="16"/>
                            <w:szCs w:val="16"/>
                          </w:rPr>
                          <w:t xml:space="preserve">není-li možné oddělené odvádění do vod povrchových, pak jejich </w:t>
                        </w:r>
                      </w:p>
                      <w:p w:rsidR="00CE27D4" w:rsidRDefault="007726E7" w:rsidP="009E2617">
                        <w:pPr>
                          <w:spacing w:before="0"/>
                          <w:rPr>
                            <w:sz w:val="16"/>
                            <w:szCs w:val="16"/>
                          </w:rPr>
                        </w:pPr>
                        <w:r w:rsidRPr="00CB3115">
                          <w:rPr>
                            <w:sz w:val="16"/>
                            <w:szCs w:val="16"/>
                          </w:rPr>
                          <w:t>regulované vypouštění do jednotné kanalizace.</w:t>
                        </w:r>
                      </w:p>
                    </w:tc>
                  </w:tr>
                </w:tbl>
                <w:p w:rsidR="00CE27D4" w:rsidRDefault="00CE27D4" w:rsidP="009E2617">
                  <w:pPr>
                    <w:spacing w:before="0"/>
                    <w:rPr>
                      <w:sz w:val="16"/>
                      <w:szCs w:val="16"/>
                    </w:rPr>
                  </w:pPr>
                </w:p>
              </w:tc>
            </w:tr>
          </w:tbl>
          <w:p w:rsidR="00383CAD" w:rsidRPr="00CB3115" w:rsidRDefault="00383CAD" w:rsidP="00383CAD">
            <w:pPr>
              <w:rPr>
                <w:sz w:val="16"/>
                <w:szCs w:val="16"/>
              </w:rPr>
            </w:pPr>
          </w:p>
        </w:tc>
        <w:tc>
          <w:tcPr>
            <w:tcW w:w="2835" w:type="dxa"/>
          </w:tcPr>
          <w:p w:rsidR="00442402" w:rsidRDefault="00442402" w:rsidP="00BF514F">
            <w:pPr>
              <w:jc w:val="left"/>
              <w:rPr>
                <w:sz w:val="16"/>
                <w:szCs w:val="16"/>
              </w:rPr>
            </w:pPr>
          </w:p>
          <w:p w:rsidR="00B03EAB" w:rsidRDefault="00B03EAB" w:rsidP="00B03EAB">
            <w:pPr>
              <w:spacing w:before="0"/>
              <w:jc w:val="left"/>
              <w:rPr>
                <w:vertAlign w:val="superscript"/>
              </w:rPr>
            </w:pPr>
          </w:p>
          <w:p w:rsidR="00B03EAB" w:rsidRDefault="00B03EAB" w:rsidP="00B03EAB">
            <w:pPr>
              <w:spacing w:before="0"/>
              <w:jc w:val="left"/>
              <w:rPr>
                <w:vertAlign w:val="superscript"/>
              </w:rPr>
            </w:pPr>
          </w:p>
          <w:p w:rsidR="00B03EAB" w:rsidRDefault="00B03EAB" w:rsidP="00B03EAB">
            <w:pPr>
              <w:spacing w:before="0"/>
              <w:jc w:val="left"/>
              <w:rPr>
                <w:vertAlign w:val="superscript"/>
              </w:rPr>
            </w:pPr>
          </w:p>
          <w:p w:rsidR="00B03EAB" w:rsidRDefault="00B03EAB" w:rsidP="00B03EAB">
            <w:pPr>
              <w:spacing w:before="0"/>
              <w:jc w:val="left"/>
              <w:rPr>
                <w:vertAlign w:val="superscript"/>
              </w:rPr>
            </w:pPr>
          </w:p>
          <w:p w:rsidR="00B03EAB" w:rsidRDefault="00B03EAB" w:rsidP="00B03EAB">
            <w:pPr>
              <w:spacing w:before="0"/>
              <w:jc w:val="left"/>
              <w:rPr>
                <w:vertAlign w:val="superscript"/>
              </w:rPr>
            </w:pPr>
          </w:p>
          <w:p w:rsidR="00442402" w:rsidRPr="00B03EAB" w:rsidRDefault="00F010CB" w:rsidP="00B03EAB">
            <w:pPr>
              <w:spacing w:before="0"/>
              <w:jc w:val="left"/>
              <w:rPr>
                <w:vertAlign w:val="superscript"/>
              </w:rPr>
            </w:pPr>
            <w:r w:rsidRPr="00B03EAB">
              <w:rPr>
                <w:vertAlign w:val="superscript"/>
              </w:rPr>
              <w:t>3) Zákon č. 185/2001 Sb., o odpadech a o změně některých dalších zákonů, ve znění pozdějších předpisů.</w:t>
            </w:r>
          </w:p>
          <w:p w:rsidR="00442402" w:rsidRPr="00CB3115" w:rsidRDefault="00F010CB" w:rsidP="00B03EAB">
            <w:pPr>
              <w:spacing w:before="0"/>
              <w:jc w:val="left"/>
              <w:rPr>
                <w:sz w:val="16"/>
                <w:szCs w:val="16"/>
              </w:rPr>
            </w:pPr>
            <w:r w:rsidRPr="00B03EAB">
              <w:rPr>
                <w:vertAlign w:val="superscript"/>
              </w:rPr>
              <w:t>Zákon č. 254/2001 Sb., ve znění pozdějších předpisů.</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20 odst. 7</w:t>
            </w:r>
          </w:p>
          <w:p w:rsidR="00383CAD" w:rsidRPr="00CB3115" w:rsidRDefault="00383CAD" w:rsidP="00383CAD">
            <w:pPr>
              <w:rPr>
                <w:sz w:val="16"/>
                <w:szCs w:val="16"/>
              </w:rPr>
            </w:pPr>
          </w:p>
          <w:p w:rsidR="00383CAD" w:rsidRDefault="007726E7" w:rsidP="00383CAD">
            <w:pPr>
              <w:rPr>
                <w:sz w:val="16"/>
                <w:szCs w:val="16"/>
              </w:rPr>
            </w:pPr>
            <w:r w:rsidRPr="00CB3115">
              <w:rPr>
                <w:sz w:val="16"/>
                <w:szCs w:val="16"/>
              </w:rPr>
              <w:t>Ke každé stavbě rodinného domu nebo stavbě pro rodinnou rekreaci nebo souvislé skupině těchto staveb musí vést zpevněná pozemní komunikace</w:t>
            </w:r>
            <w:r w:rsidR="00442402">
              <w:rPr>
                <w:sz w:val="16"/>
                <w:szCs w:val="16"/>
                <w:vertAlign w:val="superscript"/>
              </w:rPr>
              <w:t>3)</w:t>
            </w:r>
            <w:r w:rsidRPr="00CB3115">
              <w:rPr>
                <w:sz w:val="16"/>
                <w:szCs w:val="16"/>
              </w:rPr>
              <w:t> široká nejméně 2,5 m a končící nejdále 50 m od stavby.</w:t>
            </w:r>
          </w:p>
          <w:p w:rsidR="005F5F80" w:rsidRPr="00CB3115" w:rsidRDefault="005F5F80" w:rsidP="005F5F80">
            <w:pPr>
              <w:rPr>
                <w:sz w:val="16"/>
                <w:szCs w:val="16"/>
              </w:rPr>
            </w:pPr>
          </w:p>
        </w:tc>
        <w:tc>
          <w:tcPr>
            <w:tcW w:w="2835" w:type="dxa"/>
          </w:tcPr>
          <w:p w:rsidR="008C00CC" w:rsidRDefault="007726E7" w:rsidP="009E2617">
            <w:pPr>
              <w:rPr>
                <w:sz w:val="16"/>
                <w:szCs w:val="16"/>
              </w:rPr>
            </w:pPr>
            <w:r w:rsidRPr="00CB3115">
              <w:rPr>
                <w:sz w:val="16"/>
                <w:szCs w:val="16"/>
              </w:rPr>
              <w:t>Poznámka pod čarou</w:t>
            </w:r>
            <w:r w:rsidR="00442402">
              <w:rPr>
                <w:sz w:val="16"/>
                <w:szCs w:val="16"/>
              </w:rPr>
              <w:t xml:space="preserve"> č.</w:t>
            </w:r>
            <w:r w:rsidR="00F74079">
              <w:rPr>
                <w:sz w:val="16"/>
                <w:szCs w:val="16"/>
              </w:rPr>
              <w:t xml:space="preserve"> </w:t>
            </w:r>
            <w:r w:rsidR="00442402">
              <w:rPr>
                <w:sz w:val="16"/>
                <w:szCs w:val="16"/>
              </w:rPr>
              <w:t>3</w:t>
            </w:r>
            <w:r w:rsidRPr="00CB3115">
              <w:rPr>
                <w:sz w:val="16"/>
                <w:szCs w:val="16"/>
              </w:rPr>
              <w:t xml:space="preserve"> u pojmu zpevněná pozemní komunikace  odkazuje na zákon č.</w:t>
            </w:r>
            <w:r w:rsidR="00BF514F">
              <w:rPr>
                <w:sz w:val="16"/>
                <w:szCs w:val="16"/>
              </w:rPr>
              <w:t> </w:t>
            </w:r>
            <w:r w:rsidRPr="00CB3115">
              <w:rPr>
                <w:sz w:val="16"/>
                <w:szCs w:val="16"/>
              </w:rPr>
              <w:t>13/1997 Sb. o pozemních komunikacích</w:t>
            </w:r>
            <w:r w:rsidR="009720B3">
              <w:rPr>
                <w:sz w:val="16"/>
                <w:szCs w:val="16"/>
              </w:rPr>
              <w:t>.</w:t>
            </w:r>
            <w:r w:rsidRPr="00CB3115">
              <w:rPr>
                <w:sz w:val="16"/>
                <w:szCs w:val="16"/>
              </w:rPr>
              <w:t xml:space="preserve"> </w:t>
            </w:r>
          </w:p>
          <w:p w:rsidR="00383CAD" w:rsidRDefault="007726E7" w:rsidP="009E2617">
            <w:pPr>
              <w:rPr>
                <w:sz w:val="16"/>
                <w:szCs w:val="16"/>
              </w:rPr>
            </w:pPr>
            <w:r w:rsidRPr="00CB3115">
              <w:rPr>
                <w:sz w:val="16"/>
                <w:szCs w:val="16"/>
              </w:rPr>
              <w:t>Co</w:t>
            </w:r>
            <w:r w:rsidR="009720B3">
              <w:rPr>
                <w:sz w:val="16"/>
                <w:szCs w:val="16"/>
              </w:rPr>
              <w:t xml:space="preserve"> se rozumí</w:t>
            </w:r>
            <w:r w:rsidR="009E2617">
              <w:rPr>
                <w:sz w:val="16"/>
                <w:szCs w:val="16"/>
              </w:rPr>
              <w:t xml:space="preserve"> </w:t>
            </w:r>
            <w:r w:rsidRPr="00CB3115">
              <w:rPr>
                <w:sz w:val="16"/>
                <w:szCs w:val="16"/>
              </w:rPr>
              <w:t>zpevněnou pozemní komunikací</w:t>
            </w:r>
            <w:r w:rsidR="008C00CC">
              <w:rPr>
                <w:sz w:val="16"/>
                <w:szCs w:val="16"/>
              </w:rPr>
              <w:t xml:space="preserve">, </w:t>
            </w:r>
            <w:r w:rsidRPr="00CB3115">
              <w:rPr>
                <w:sz w:val="16"/>
                <w:szCs w:val="16"/>
              </w:rPr>
              <w:t xml:space="preserve">je nutné posuzovat individuálně. </w:t>
            </w:r>
          </w:p>
          <w:p w:rsidR="008C00CC" w:rsidRDefault="005F5F80" w:rsidP="008C00CC">
            <w:pPr>
              <w:rPr>
                <w:sz w:val="16"/>
                <w:szCs w:val="16"/>
              </w:rPr>
            </w:pPr>
            <w:r w:rsidRPr="005F5F80">
              <w:rPr>
                <w:sz w:val="16"/>
                <w:szCs w:val="16"/>
              </w:rPr>
              <w:t>Zákon</w:t>
            </w:r>
            <w:r>
              <w:rPr>
                <w:sz w:val="16"/>
                <w:szCs w:val="16"/>
              </w:rPr>
              <w:t xml:space="preserve"> č. 13/1997 Sb.</w:t>
            </w:r>
            <w:r w:rsidRPr="005F5F80">
              <w:rPr>
                <w:sz w:val="16"/>
                <w:szCs w:val="16"/>
              </w:rPr>
              <w:t xml:space="preserve"> definuje </w:t>
            </w:r>
            <w:r w:rsidR="00CE2A1D">
              <w:rPr>
                <w:sz w:val="16"/>
                <w:szCs w:val="16"/>
              </w:rPr>
              <w:t>v § 2 pojem „pozemní komunikace“ a rozděluje je</w:t>
            </w:r>
            <w:r w:rsidRPr="005F5F80">
              <w:rPr>
                <w:sz w:val="16"/>
                <w:szCs w:val="16"/>
              </w:rPr>
              <w:t xml:space="preserve"> do čtyř kategorií. Jedná se o dálnice, silnice, místní komunikace a účelové komunikace. Podle toho, jak se zvyšuje či snižuje dopravní významnost určité komunikace, dochází k jejímu zařazování (a vyřazování) z jedné kategorie do druhé. Zařazování pozemních komunikací do jednotlivých kategorií a tříd se podrobněji věnuje § 3. </w:t>
            </w:r>
          </w:p>
          <w:p w:rsidR="005F5F80" w:rsidRPr="00CB3115" w:rsidRDefault="005F5F80" w:rsidP="008C00CC">
            <w:pPr>
              <w:rPr>
                <w:sz w:val="16"/>
                <w:szCs w:val="16"/>
              </w:rPr>
            </w:pPr>
            <w:r w:rsidRPr="005F5F80">
              <w:rPr>
                <w:sz w:val="16"/>
                <w:szCs w:val="16"/>
              </w:rPr>
              <w:t>Jedinou pozemní komunikací, u které se pro její vznik nevyžaduje vydání správního rozhodnutí o zařazení do příslušné kategorie, je pozemní komunikace účelová. K jejímu vzniku postačuje naplnění definičních znaků, které stanoví zákon. V</w:t>
            </w:r>
            <w:r>
              <w:rPr>
                <w:sz w:val="16"/>
                <w:szCs w:val="16"/>
              </w:rPr>
              <w:t> případě pochybností vydá silniční správní úřad</w:t>
            </w:r>
            <w:r w:rsidRPr="005F5F80">
              <w:rPr>
                <w:sz w:val="16"/>
                <w:szCs w:val="16"/>
              </w:rPr>
              <w:t xml:space="preserve"> deklaratorní správní rozhodnutí o existenci či neexistenci účelové komunikace.</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21 odst. 4</w:t>
            </w:r>
          </w:p>
          <w:p w:rsidR="00383CAD" w:rsidRPr="00CB3115" w:rsidRDefault="00383CAD" w:rsidP="00383CAD">
            <w:pPr>
              <w:rPr>
                <w:sz w:val="16"/>
                <w:szCs w:val="16"/>
              </w:rPr>
            </w:pPr>
          </w:p>
          <w:p w:rsidR="00383CAD" w:rsidRPr="00CB3115" w:rsidRDefault="007726E7" w:rsidP="006C657A">
            <w:pPr>
              <w:rPr>
                <w:sz w:val="16"/>
                <w:szCs w:val="16"/>
              </w:rPr>
            </w:pPr>
            <w:r w:rsidRPr="00CB3115">
              <w:rPr>
                <w:sz w:val="16"/>
                <w:szCs w:val="16"/>
              </w:rPr>
              <w:t>Na pozemcích staveb pro bydlení lze kromě stavby pro bydlení umístit stavbu nebo zařízení související s bydlením či bydlení podmiňující a provést terénní úpravy potřebné k řádnému a bezpečnému užívání pozemků, stav</w:t>
            </w:r>
            <w:r w:rsidR="00CA702C">
              <w:rPr>
                <w:sz w:val="16"/>
                <w:szCs w:val="16"/>
              </w:rPr>
              <w:t>e</w:t>
            </w:r>
            <w:r w:rsidRPr="00CB3115">
              <w:rPr>
                <w:sz w:val="16"/>
                <w:szCs w:val="16"/>
              </w:rPr>
              <w:t>b a zařízení na nich, není-li z prostorových a provozních důvodů možno zabezpečit uvedené funkce ve stavbě pro bydlení. Na pozemcích rodinných domů lze dále umístit jednu stavbu pro podnikatelskou činnost do 25 m2 zastavěné plochy a do 5 m výšky s jedním nadzemním podlažím, podsklepenou nejvýše do hloubky 3 m. Na pozemcích staveb pro rodinnou rekreaci lze kromě stavby pro rodinnou rekreaci umístit stavbu nebo zařízení související s rodinnou rekreací či rodinnou rekreaci podmiňující a provést terénní úpravy potřebné k řádnému a bezpečnému užívání pozemků, staveb a zařízení na nich.</w:t>
            </w:r>
          </w:p>
        </w:tc>
        <w:tc>
          <w:tcPr>
            <w:tcW w:w="2835" w:type="dxa"/>
          </w:tcPr>
          <w:p w:rsidR="00383CAD" w:rsidRPr="00CB3115" w:rsidRDefault="007726E7" w:rsidP="009E2617">
            <w:pPr>
              <w:rPr>
                <w:sz w:val="16"/>
                <w:szCs w:val="16"/>
              </w:rPr>
            </w:pPr>
            <w:r w:rsidRPr="00CB3115">
              <w:rPr>
                <w:sz w:val="16"/>
                <w:szCs w:val="16"/>
              </w:rPr>
              <w:t>Pojem „</w:t>
            </w:r>
            <w:r w:rsidR="00536ED5" w:rsidRPr="00CB3115">
              <w:rPr>
                <w:sz w:val="16"/>
                <w:szCs w:val="16"/>
              </w:rPr>
              <w:t>stavb</w:t>
            </w:r>
            <w:r w:rsidR="00536ED5">
              <w:rPr>
                <w:sz w:val="16"/>
                <w:szCs w:val="16"/>
              </w:rPr>
              <w:t>a</w:t>
            </w:r>
            <w:r w:rsidR="00536ED5" w:rsidRPr="00CB3115">
              <w:rPr>
                <w:sz w:val="16"/>
                <w:szCs w:val="16"/>
              </w:rPr>
              <w:t xml:space="preserve"> </w:t>
            </w:r>
            <w:r w:rsidRPr="00CB3115">
              <w:rPr>
                <w:sz w:val="16"/>
                <w:szCs w:val="16"/>
              </w:rPr>
              <w:t xml:space="preserve">nebo zařízení související s bydlením či bydlení podmiňující“ není v právních předpisech definován či specifikován.  Bude vždy na posouzení stavebního úřadu, zda bude v konkrétním případě stavba posouzena jako související s bydlením </w:t>
            </w:r>
            <w:r w:rsidR="009720B3">
              <w:rPr>
                <w:sz w:val="16"/>
                <w:szCs w:val="16"/>
              </w:rPr>
              <w:t xml:space="preserve">(např. skleník, bazén, </w:t>
            </w:r>
            <w:r w:rsidR="00212E31">
              <w:rPr>
                <w:sz w:val="16"/>
                <w:szCs w:val="16"/>
              </w:rPr>
              <w:t xml:space="preserve">garáž, sklad zahradní techniky, apod.) </w:t>
            </w:r>
            <w:r w:rsidRPr="00CB3115">
              <w:rPr>
                <w:sz w:val="16"/>
                <w:szCs w:val="16"/>
              </w:rPr>
              <w:t>či bydlení podmiňující</w:t>
            </w:r>
            <w:r w:rsidR="00212E31">
              <w:rPr>
                <w:sz w:val="16"/>
                <w:szCs w:val="16"/>
              </w:rPr>
              <w:t xml:space="preserve"> (např. energetická přípojka, ČOV, apod.)</w:t>
            </w:r>
            <w:r w:rsidRPr="00CB3115">
              <w:rPr>
                <w:sz w:val="16"/>
                <w:szCs w:val="16"/>
              </w:rPr>
              <w:t>,</w:t>
            </w:r>
            <w:r w:rsidR="009E2617">
              <w:rPr>
                <w:sz w:val="16"/>
                <w:szCs w:val="16"/>
              </w:rPr>
              <w:t> </w:t>
            </w:r>
            <w:r w:rsidR="00212E31">
              <w:rPr>
                <w:sz w:val="16"/>
                <w:szCs w:val="16"/>
              </w:rPr>
              <w:t>a</w:t>
            </w:r>
            <w:r w:rsidR="009E2617">
              <w:rPr>
                <w:sz w:val="16"/>
                <w:szCs w:val="16"/>
              </w:rPr>
              <w:t> </w:t>
            </w:r>
            <w:r w:rsidRPr="00CB3115">
              <w:rPr>
                <w:sz w:val="16"/>
                <w:szCs w:val="16"/>
              </w:rPr>
              <w:t>jaké definiční znaky takové stavby budou pro určení jejího charakteru stanoveny.</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23 odst. 2</w:t>
            </w:r>
          </w:p>
          <w:p w:rsidR="00383CAD" w:rsidRPr="00CB3115" w:rsidRDefault="00383CAD" w:rsidP="00383CAD">
            <w:pPr>
              <w:rPr>
                <w:sz w:val="16"/>
                <w:szCs w:val="16"/>
              </w:rPr>
            </w:pPr>
          </w:p>
          <w:p w:rsidR="00383CAD" w:rsidRDefault="007726E7" w:rsidP="00383CAD">
            <w:pPr>
              <w:rPr>
                <w:sz w:val="16"/>
                <w:szCs w:val="16"/>
              </w:rPr>
            </w:pPr>
            <w:r w:rsidRPr="00CB3115">
              <w:rPr>
                <w:sz w:val="16"/>
                <w:szCs w:val="16"/>
              </w:rPr>
              <w:t>Stavby se umisťují tak, aby stavba ani její část nepřesahovala na sousední pozemek. Umístěním stavby nebo změnou stavby na hranici pozemků nebo v její bezprostřední blízkosti nesmí být znemožněna zástavba sousedního pozemku.</w:t>
            </w:r>
          </w:p>
          <w:p w:rsidR="00D916FB" w:rsidRPr="00CB3115" w:rsidRDefault="00D916FB" w:rsidP="00383CAD">
            <w:pPr>
              <w:rPr>
                <w:sz w:val="16"/>
                <w:szCs w:val="16"/>
              </w:rPr>
            </w:pPr>
          </w:p>
        </w:tc>
        <w:tc>
          <w:tcPr>
            <w:tcW w:w="2835" w:type="dxa"/>
          </w:tcPr>
          <w:p w:rsidR="00383CAD" w:rsidRPr="00CB3115" w:rsidRDefault="00383CAD" w:rsidP="00383CAD">
            <w:pPr>
              <w:rPr>
                <w:sz w:val="16"/>
                <w:szCs w:val="16"/>
              </w:rPr>
            </w:pP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24 odst. 1</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Rozvodná energetická vedení a vedení elektronických komunikací se v zastavěném území obcí umisťují pod zem.</w:t>
            </w:r>
          </w:p>
        </w:tc>
        <w:tc>
          <w:tcPr>
            <w:tcW w:w="2835" w:type="dxa"/>
          </w:tcPr>
          <w:p w:rsidR="00383CAD" w:rsidRPr="00CB3115" w:rsidRDefault="007726E7" w:rsidP="006E037B">
            <w:pPr>
              <w:rPr>
                <w:sz w:val="16"/>
                <w:szCs w:val="16"/>
              </w:rPr>
            </w:pPr>
            <w:r w:rsidRPr="00CB3115">
              <w:rPr>
                <w:sz w:val="16"/>
                <w:szCs w:val="16"/>
              </w:rPr>
              <w:t xml:space="preserve"> </w:t>
            </w:r>
            <w:r w:rsidR="006E037B">
              <w:rPr>
                <w:sz w:val="16"/>
                <w:szCs w:val="16"/>
              </w:rPr>
              <w:t>Podrobnosti - v</w:t>
            </w:r>
            <w:r w:rsidRPr="00CB3115">
              <w:rPr>
                <w:sz w:val="16"/>
                <w:szCs w:val="16"/>
              </w:rPr>
              <w:t xml:space="preserve">iz </w:t>
            </w:r>
            <w:r w:rsidR="00FB292F">
              <w:rPr>
                <w:sz w:val="16"/>
                <w:szCs w:val="16"/>
              </w:rPr>
              <w:t>kapitola č. 5</w:t>
            </w:r>
            <w:r w:rsidRPr="00CB3115">
              <w:rPr>
                <w:sz w:val="16"/>
                <w:szCs w:val="16"/>
              </w:rPr>
              <w:t xml:space="preserve"> této pracovní pomůcky</w:t>
            </w:r>
            <w:r w:rsidR="006E037B">
              <w:rPr>
                <w:sz w:val="16"/>
                <w:szCs w:val="16"/>
              </w:rPr>
              <w:t>.</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24 odst. 3</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Garáže, odstavná a parkovací stání, zejména pro nákladní automobily, autobusy, traktory a jiné dopravní prostředky, se umisťují mimo plochy bydlení, rekreace, občanského vybavení, smíšené obytné, kromě staveb garáží, odstavných a parkovacích ploch pro ně určených v uzavřených prostorech zemědělských staveb a kromě odstavných a parkovacích stání pro speciální automobily policejní, požární techniky, lékařské pomoci, automobily obytné a obytné přívěsy, pokud tomu nebrání omezení vyplývající ze zvláštních předpisů.</w:t>
            </w:r>
          </w:p>
        </w:tc>
        <w:tc>
          <w:tcPr>
            <w:tcW w:w="2835" w:type="dxa"/>
          </w:tcPr>
          <w:p w:rsidR="00383CAD" w:rsidRPr="00CB3115" w:rsidRDefault="00383CAD" w:rsidP="00DE3150">
            <w:pPr>
              <w:jc w:val="left"/>
              <w:rPr>
                <w:sz w:val="16"/>
                <w:szCs w:val="16"/>
              </w:rPr>
            </w:pP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§24a odst. 2</w:t>
            </w:r>
          </w:p>
          <w:p w:rsidR="00383CAD" w:rsidRPr="00CB3115" w:rsidRDefault="00383CAD" w:rsidP="00383CAD">
            <w:pPr>
              <w:rPr>
                <w:sz w:val="16"/>
                <w:szCs w:val="16"/>
              </w:rPr>
            </w:pPr>
          </w:p>
          <w:p w:rsidR="00CE27D4" w:rsidRDefault="007726E7" w:rsidP="006664B9">
            <w:pPr>
              <w:spacing w:before="0"/>
              <w:rPr>
                <w:sz w:val="16"/>
                <w:szCs w:val="16"/>
              </w:rPr>
            </w:pPr>
            <w:r w:rsidRPr="00CB3115">
              <w:rPr>
                <w:sz w:val="16"/>
                <w:szCs w:val="16"/>
              </w:rPr>
              <w:t>Nejmenší vzdálenost studny od zdrojů možného znečištění je stanovena podle druhu možného zdroje znečištění pro málo prostupné prostředí takto:</w:t>
            </w:r>
          </w:p>
          <w:tbl>
            <w:tblPr>
              <w:tblW w:w="10143" w:type="dxa"/>
              <w:tblCellSpacing w:w="0" w:type="dxa"/>
              <w:shd w:val="clear" w:color="auto" w:fill="FFFFFF"/>
              <w:tblLayout w:type="fixed"/>
              <w:tblCellMar>
                <w:left w:w="0" w:type="dxa"/>
                <w:right w:w="0" w:type="dxa"/>
              </w:tblCellMar>
              <w:tblLook w:val="04A0" w:firstRow="1" w:lastRow="0" w:firstColumn="1" w:lastColumn="0" w:noHBand="0" w:noVBand="1"/>
            </w:tblPr>
            <w:tblGrid>
              <w:gridCol w:w="238"/>
              <w:gridCol w:w="9905"/>
            </w:tblGrid>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a)</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žumpy, malé čistírny, kanalizační přípojky 12 m,</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b)</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 xml:space="preserve">nádrže tekutých paliv pro individuální vytápění umístěné v obytné budově </w:t>
                  </w:r>
                </w:p>
                <w:p w:rsidR="00CE27D4" w:rsidRDefault="007726E7" w:rsidP="006664B9">
                  <w:pPr>
                    <w:spacing w:before="0"/>
                    <w:rPr>
                      <w:sz w:val="16"/>
                      <w:szCs w:val="16"/>
                    </w:rPr>
                  </w:pPr>
                  <w:r w:rsidRPr="00CB3115">
                    <w:rPr>
                      <w:sz w:val="16"/>
                      <w:szCs w:val="16"/>
                    </w:rPr>
                    <w:t>nebo samostatné pomocné budově 7 m,</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c)</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chlévy, močůvkové jímky a hnojiště při drobném ustájení jednotlivých kusů</w:t>
                  </w:r>
                </w:p>
                <w:p w:rsidR="00CE27D4" w:rsidRDefault="007726E7" w:rsidP="006664B9">
                  <w:pPr>
                    <w:spacing w:before="0"/>
                    <w:rPr>
                      <w:sz w:val="16"/>
                      <w:szCs w:val="16"/>
                    </w:rPr>
                  </w:pPr>
                  <w:r w:rsidRPr="00CB3115">
                    <w:rPr>
                      <w:sz w:val="16"/>
                      <w:szCs w:val="16"/>
                    </w:rPr>
                    <w:t xml:space="preserve"> hospodářských zvířat 10 m,</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d)</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veřejné pozemní komunikace 12 m,</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e)</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 xml:space="preserve">individuální umývací plochy motorových vozidel a od nich vedoucí </w:t>
                  </w:r>
                </w:p>
                <w:p w:rsidR="00CE27D4" w:rsidRDefault="007726E7" w:rsidP="006664B9">
                  <w:pPr>
                    <w:spacing w:before="0"/>
                    <w:rPr>
                      <w:sz w:val="16"/>
                      <w:szCs w:val="16"/>
                    </w:rPr>
                  </w:pPr>
                  <w:r w:rsidRPr="00CB3115">
                    <w:rPr>
                      <w:sz w:val="16"/>
                      <w:szCs w:val="16"/>
                    </w:rPr>
                    <w:t>odtokové potrubí a strouhy 15 m</w:t>
                  </w:r>
                </w:p>
              </w:tc>
            </w:tr>
          </w:tbl>
          <w:p w:rsidR="00383CAD" w:rsidRPr="00CB3115" w:rsidRDefault="00383CAD" w:rsidP="00383CAD">
            <w:pPr>
              <w:rPr>
                <w:sz w:val="16"/>
                <w:szCs w:val="16"/>
              </w:rPr>
            </w:pPr>
          </w:p>
        </w:tc>
        <w:tc>
          <w:tcPr>
            <w:tcW w:w="2835" w:type="dxa"/>
          </w:tcPr>
          <w:p w:rsidR="009E2617" w:rsidRDefault="007726E7" w:rsidP="009E2617">
            <w:pPr>
              <w:rPr>
                <w:sz w:val="16"/>
                <w:szCs w:val="16"/>
              </w:rPr>
            </w:pPr>
            <w:r w:rsidRPr="00CB3115">
              <w:rPr>
                <w:sz w:val="16"/>
                <w:szCs w:val="16"/>
              </w:rPr>
              <w:t>Podkladem pro udělení výjimky bude hydrogeologický posudek.</w:t>
            </w:r>
            <w:r w:rsidR="009E2617">
              <w:rPr>
                <w:sz w:val="16"/>
                <w:szCs w:val="16"/>
              </w:rPr>
              <w:t xml:space="preserve"> </w:t>
            </w:r>
          </w:p>
          <w:p w:rsidR="00383CAD" w:rsidRPr="00CB3115" w:rsidRDefault="007726E7" w:rsidP="009E2617">
            <w:pPr>
              <w:rPr>
                <w:sz w:val="16"/>
                <w:szCs w:val="16"/>
              </w:rPr>
            </w:pPr>
            <w:r w:rsidRPr="00CB3115">
              <w:rPr>
                <w:sz w:val="16"/>
                <w:szCs w:val="16"/>
              </w:rPr>
              <w:t>Rozhodnutí o povolení výjimky lze přitom vydat jen po dohodě nebo se souhlasem dotčeného orgánu, který hájí zájmy chráněné podle zvláštních právních předpisů, v</w:t>
            </w:r>
            <w:r w:rsidR="00DE3150">
              <w:rPr>
                <w:sz w:val="16"/>
                <w:szCs w:val="16"/>
              </w:rPr>
              <w:t> </w:t>
            </w:r>
            <w:r w:rsidRPr="00CB3115">
              <w:rPr>
                <w:sz w:val="16"/>
                <w:szCs w:val="16"/>
              </w:rPr>
              <w:t>daném případě vodoprávního úřadu.</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24a odst. 3</w:t>
            </w:r>
          </w:p>
          <w:p w:rsidR="00383CAD" w:rsidRPr="00CB3115" w:rsidRDefault="00383CAD" w:rsidP="00383CAD">
            <w:pPr>
              <w:rPr>
                <w:sz w:val="16"/>
                <w:szCs w:val="16"/>
              </w:rPr>
            </w:pPr>
          </w:p>
          <w:p w:rsidR="00CE27D4" w:rsidRDefault="007726E7" w:rsidP="006664B9">
            <w:pPr>
              <w:spacing w:before="0"/>
              <w:rPr>
                <w:sz w:val="16"/>
                <w:szCs w:val="16"/>
              </w:rPr>
            </w:pPr>
            <w:r w:rsidRPr="00CB3115">
              <w:rPr>
                <w:sz w:val="16"/>
                <w:szCs w:val="16"/>
              </w:rPr>
              <w:t>Nejmenší vzdálenost studny od zdrojů možného znečištění je stanovena podle druhu možného zdroje znečištění pro prostupné prostředí takto:</w:t>
            </w:r>
          </w:p>
          <w:tbl>
            <w:tblPr>
              <w:tblW w:w="10143" w:type="dxa"/>
              <w:tblCellSpacing w:w="0" w:type="dxa"/>
              <w:shd w:val="clear" w:color="auto" w:fill="FFFFFF"/>
              <w:tblLayout w:type="fixed"/>
              <w:tblCellMar>
                <w:left w:w="0" w:type="dxa"/>
                <w:right w:w="0" w:type="dxa"/>
              </w:tblCellMar>
              <w:tblLook w:val="04A0" w:firstRow="1" w:lastRow="0" w:firstColumn="1" w:lastColumn="0" w:noHBand="0" w:noVBand="1"/>
            </w:tblPr>
            <w:tblGrid>
              <w:gridCol w:w="238"/>
              <w:gridCol w:w="9905"/>
            </w:tblGrid>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a)</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žumpy, malé čistírny, kanalizační přípojky 30 m,</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b)</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 xml:space="preserve">nádrže tekutých paliv pro individuální vytápění umístěné v obytné budově </w:t>
                  </w:r>
                </w:p>
                <w:p w:rsidR="00CE27D4" w:rsidRDefault="007726E7" w:rsidP="006664B9">
                  <w:pPr>
                    <w:spacing w:before="0"/>
                    <w:rPr>
                      <w:sz w:val="16"/>
                      <w:szCs w:val="16"/>
                    </w:rPr>
                  </w:pPr>
                  <w:r w:rsidRPr="00CB3115">
                    <w:rPr>
                      <w:sz w:val="16"/>
                      <w:szCs w:val="16"/>
                    </w:rPr>
                    <w:t>nebo samostatné pomocné budově 20 m,</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c)</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chlévy, močůvkové jímky a hnojiště při drobném ustájení jednotlivých kusů</w:t>
                  </w:r>
                </w:p>
                <w:p w:rsidR="00CE27D4" w:rsidRDefault="007726E7" w:rsidP="006664B9">
                  <w:pPr>
                    <w:spacing w:before="0"/>
                    <w:rPr>
                      <w:sz w:val="16"/>
                      <w:szCs w:val="16"/>
                    </w:rPr>
                  </w:pPr>
                  <w:r w:rsidRPr="00CB3115">
                    <w:rPr>
                      <w:sz w:val="16"/>
                      <w:szCs w:val="16"/>
                    </w:rPr>
                    <w:t xml:space="preserve"> hospodářských zvířat 25 m,</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d)</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veřejné pozemní komunikace 30 m,</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e)</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individuální umývací plochy motorových vozidel a od nich vedoucí</w:t>
                  </w:r>
                </w:p>
                <w:p w:rsidR="00CE27D4" w:rsidRDefault="007726E7" w:rsidP="006664B9">
                  <w:pPr>
                    <w:spacing w:before="0"/>
                    <w:rPr>
                      <w:sz w:val="16"/>
                      <w:szCs w:val="16"/>
                    </w:rPr>
                  </w:pPr>
                  <w:r w:rsidRPr="00CB3115">
                    <w:rPr>
                      <w:sz w:val="16"/>
                      <w:szCs w:val="16"/>
                    </w:rPr>
                    <w:t xml:space="preserve"> odtokové potrubí a strouhy 40 m.</w:t>
                  </w:r>
                </w:p>
              </w:tc>
            </w:tr>
          </w:tbl>
          <w:p w:rsidR="00383CAD" w:rsidRPr="00CB3115" w:rsidRDefault="00383CAD" w:rsidP="00383CAD">
            <w:pPr>
              <w:rPr>
                <w:sz w:val="16"/>
                <w:szCs w:val="16"/>
              </w:rPr>
            </w:pPr>
          </w:p>
        </w:tc>
        <w:tc>
          <w:tcPr>
            <w:tcW w:w="2835" w:type="dxa"/>
          </w:tcPr>
          <w:p w:rsidR="00383CAD" w:rsidRPr="00CB3115" w:rsidRDefault="00212E31" w:rsidP="006E037B">
            <w:pPr>
              <w:rPr>
                <w:sz w:val="16"/>
                <w:szCs w:val="16"/>
              </w:rPr>
            </w:pPr>
            <w:r>
              <w:rPr>
                <w:sz w:val="16"/>
                <w:szCs w:val="16"/>
              </w:rPr>
              <w:t>Toto ustanovení má</w:t>
            </w:r>
            <w:r w:rsidR="007726E7" w:rsidRPr="00CB3115">
              <w:rPr>
                <w:sz w:val="16"/>
                <w:szCs w:val="16"/>
              </w:rPr>
              <w:t xml:space="preserve"> v</w:t>
            </w:r>
            <w:r w:rsidR="007E3682">
              <w:rPr>
                <w:sz w:val="16"/>
                <w:szCs w:val="16"/>
              </w:rPr>
              <w:t xml:space="preserve"> platném </w:t>
            </w:r>
            <w:r w:rsidR="007726E7" w:rsidRPr="00CB3115">
              <w:rPr>
                <w:sz w:val="16"/>
                <w:szCs w:val="16"/>
              </w:rPr>
              <w:t xml:space="preserve"> znění</w:t>
            </w:r>
            <w:r>
              <w:rPr>
                <w:sz w:val="16"/>
                <w:szCs w:val="16"/>
              </w:rPr>
              <w:t xml:space="preserve"> vyhlášky</w:t>
            </w:r>
            <w:r w:rsidR="007726E7" w:rsidRPr="00CB3115">
              <w:rPr>
                <w:sz w:val="16"/>
                <w:szCs w:val="16"/>
              </w:rPr>
              <w:t xml:space="preserve"> název Studny individuálního zásobování vodou. Umisťování studen, které jsou zdrojem pro veřejný vodovod</w:t>
            </w:r>
            <w:r w:rsidR="00DE3150">
              <w:rPr>
                <w:sz w:val="16"/>
                <w:szCs w:val="16"/>
              </w:rPr>
              <w:t>,</w:t>
            </w:r>
            <w:r w:rsidR="007726E7" w:rsidRPr="00CB3115">
              <w:rPr>
                <w:sz w:val="16"/>
                <w:szCs w:val="16"/>
              </w:rPr>
              <w:t xml:space="preserve"> se tímto předpisem nelimituje, ochranu těchto zdrojů řeší ochranná pásma.</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25 odst. 2</w:t>
            </w:r>
          </w:p>
          <w:p w:rsidR="00383CAD" w:rsidRPr="00CB3115" w:rsidRDefault="00383CAD" w:rsidP="00383CAD">
            <w:pPr>
              <w:rPr>
                <w:sz w:val="16"/>
                <w:szCs w:val="16"/>
              </w:rPr>
            </w:pPr>
          </w:p>
          <w:p w:rsidR="00383CAD" w:rsidRPr="00CB3115" w:rsidRDefault="007726E7" w:rsidP="00DE3150">
            <w:pPr>
              <w:rPr>
                <w:sz w:val="16"/>
                <w:szCs w:val="16"/>
              </w:rPr>
            </w:pPr>
            <w:r w:rsidRPr="00CB3115">
              <w:rPr>
                <w:sz w:val="16"/>
                <w:szCs w:val="16"/>
              </w:rPr>
              <w:t>Je-li mezi rodinnými domy volný prostor, vzdálenost mezi nimi nesmí být menší než 7 m a jejich vzdálenost od společných hranic pozemků nesmí být menší než 2</w:t>
            </w:r>
            <w:r w:rsidR="00DE3150">
              <w:rPr>
                <w:sz w:val="16"/>
                <w:szCs w:val="16"/>
              </w:rPr>
              <w:t> </w:t>
            </w:r>
            <w:r w:rsidRPr="00CB3115">
              <w:rPr>
                <w:sz w:val="16"/>
                <w:szCs w:val="16"/>
              </w:rPr>
              <w:t>m. Ve zvlášť stísněných územních podmínkách může být vzdálenost mezi rodinnými domy snížena až na 4 m, pokud v žádné z protilehlých stěn nejsou okna obytných místností; v takovém případě se odstavec 4 nepoužije.</w:t>
            </w:r>
          </w:p>
        </w:tc>
        <w:tc>
          <w:tcPr>
            <w:tcW w:w="2835" w:type="dxa"/>
          </w:tcPr>
          <w:p w:rsidR="00383CAD" w:rsidRPr="00CB3115" w:rsidRDefault="007726E7" w:rsidP="00383CAD">
            <w:pPr>
              <w:rPr>
                <w:sz w:val="16"/>
                <w:szCs w:val="16"/>
                <w:shd w:val="clear" w:color="auto" w:fill="FFFFFF"/>
              </w:rPr>
            </w:pPr>
            <w:r w:rsidRPr="00CB3115">
              <w:rPr>
                <w:sz w:val="16"/>
                <w:szCs w:val="16"/>
              </w:rPr>
              <w:t xml:space="preserve">Ust. § 25 odst. 1 pracuje </w:t>
            </w:r>
            <w:r w:rsidR="004D050A">
              <w:rPr>
                <w:sz w:val="16"/>
                <w:szCs w:val="16"/>
              </w:rPr>
              <w:t xml:space="preserve">kromě jiného i </w:t>
            </w:r>
            <w:r w:rsidRPr="00CB3115">
              <w:rPr>
                <w:sz w:val="16"/>
                <w:szCs w:val="16"/>
              </w:rPr>
              <w:t>s pojmem "kvalita prostředí", který obsahově naplňuje stejná kritéria jako starší pojem „pohoda bydlení“, která musí být při povolení výjimky zohledněna (NSS 2 As 44/2005-116).</w:t>
            </w:r>
            <w:r w:rsidRPr="00CB3115">
              <w:rPr>
                <w:sz w:val="16"/>
                <w:szCs w:val="16"/>
                <w:shd w:val="clear" w:color="auto" w:fill="FFFFFF"/>
              </w:rPr>
              <w:t xml:space="preserve"> </w:t>
            </w:r>
          </w:p>
          <w:p w:rsidR="00383CAD" w:rsidRPr="00CB3115" w:rsidRDefault="007726E7" w:rsidP="009E2617">
            <w:pPr>
              <w:rPr>
                <w:sz w:val="16"/>
                <w:szCs w:val="16"/>
              </w:rPr>
            </w:pPr>
            <w:r w:rsidRPr="00CB3115">
              <w:rPr>
                <w:sz w:val="16"/>
                <w:szCs w:val="16"/>
              </w:rPr>
              <w:lastRenderedPageBreak/>
              <w:t>Pojem „okna z obytných místností v protilehlých stěnách“ obsažený v §</w:t>
            </w:r>
            <w:r w:rsidR="009E2617">
              <w:rPr>
                <w:sz w:val="16"/>
                <w:szCs w:val="16"/>
              </w:rPr>
              <w:t> </w:t>
            </w:r>
            <w:r w:rsidRPr="00CB3115">
              <w:rPr>
                <w:sz w:val="16"/>
                <w:szCs w:val="16"/>
              </w:rPr>
              <w:t>25 odst. 2 a 4 je nutné chápat jako jakákoliv okna, jež vedou z obytných místností, umístěn</w:t>
            </w:r>
            <w:r w:rsidR="004D050A">
              <w:rPr>
                <w:sz w:val="16"/>
                <w:szCs w:val="16"/>
              </w:rPr>
              <w:t>ých</w:t>
            </w:r>
            <w:r w:rsidRPr="00CB3115">
              <w:rPr>
                <w:sz w:val="16"/>
                <w:szCs w:val="16"/>
              </w:rPr>
              <w:t xml:space="preserve"> po celé délce protilehlých stěn, bez ohledu na odlišnou délku protilehlých stěn. (NSS 1 As 69/2011-176) </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25 odst. 3</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Vytvářejí-li stavby pro rodinnou rekreaci mezi sebou volný prostor, vzdálenost mezi nimi nesmí být menší než 10 m.</w:t>
            </w:r>
          </w:p>
        </w:tc>
        <w:tc>
          <w:tcPr>
            <w:tcW w:w="2835" w:type="dxa"/>
          </w:tcPr>
          <w:p w:rsidR="00383CAD" w:rsidRPr="00CB3115" w:rsidRDefault="004D050A" w:rsidP="00383CAD">
            <w:pPr>
              <w:rPr>
                <w:sz w:val="16"/>
                <w:szCs w:val="16"/>
              </w:rPr>
            </w:pPr>
            <w:r>
              <w:rPr>
                <w:sz w:val="16"/>
                <w:szCs w:val="16"/>
              </w:rPr>
              <w:t>D</w:t>
            </w:r>
            <w:r w:rsidR="007726E7" w:rsidRPr="00CB3115">
              <w:rPr>
                <w:sz w:val="16"/>
                <w:szCs w:val="16"/>
              </w:rPr>
              <w:t>efinice stavby pro rodinnou rekreaci v § 2 písm. b) vyhlášky</w:t>
            </w:r>
            <w:r>
              <w:rPr>
                <w:sz w:val="16"/>
                <w:szCs w:val="16"/>
              </w:rPr>
              <w:t>.</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25 odst. 4</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Jsou-li v některé z protilehlých stěn sousedících staveb pro bydlení okna obytných místností, musí být odstup staveb roven alespoň výšce vyšší z protilehlých stěn, s výjimkou vzájemných odstupů staveb rodinných domů podle odstavce 2. Uvedené odstupy mezi stavbami pro bydlení neplatí pro jednotlivé stavby umisťované v prolukách. Obdobně se určují odstupy od staveb nebytových.</w:t>
            </w:r>
          </w:p>
        </w:tc>
        <w:tc>
          <w:tcPr>
            <w:tcW w:w="2835" w:type="dxa"/>
          </w:tcPr>
          <w:p w:rsidR="00383CAD" w:rsidRDefault="007726E7" w:rsidP="00E50FB6">
            <w:pPr>
              <w:rPr>
                <w:sz w:val="16"/>
                <w:szCs w:val="16"/>
              </w:rPr>
            </w:pPr>
            <w:r w:rsidRPr="00CB3115">
              <w:rPr>
                <w:sz w:val="16"/>
                <w:szCs w:val="16"/>
              </w:rPr>
              <w:t>Na stavby umisťované v prolukách se neaplikují povinné odstupy mezi stavbami a jejich vliv na stínění okolních budov se porovnává se stavem při úplné souvislé zástavbě. Proluku může představovat i téměř jedna chybějící polovina domovního bloku v souvislé městské zástavbě, jestliže je doloženo, že historicky se jednalo o kompletní domovní blok a volné místo vzniklo stržením několika domů. Není žádný důvod vyžadovat, aby takováto proluka byla zastavěna stavbou jedinou. (NSS  6 As 37/2015 – 25)</w:t>
            </w:r>
            <w:r w:rsidR="00FD4923">
              <w:rPr>
                <w:sz w:val="16"/>
                <w:szCs w:val="16"/>
              </w:rPr>
              <w:t>.</w:t>
            </w:r>
          </w:p>
          <w:p w:rsidR="00FD4923" w:rsidRPr="00CB3115" w:rsidRDefault="00FD4923" w:rsidP="00A06E85">
            <w:pPr>
              <w:rPr>
                <w:sz w:val="16"/>
                <w:szCs w:val="16"/>
              </w:rPr>
            </w:pPr>
            <w:r>
              <w:rPr>
                <w:sz w:val="16"/>
                <w:szCs w:val="16"/>
              </w:rPr>
              <w:t>Další informace</w:t>
            </w:r>
            <w:r w:rsidR="00A06E85">
              <w:rPr>
                <w:sz w:val="16"/>
                <w:szCs w:val="16"/>
              </w:rPr>
              <w:t xml:space="preserve"> o prolukách</w:t>
            </w:r>
            <w:r>
              <w:rPr>
                <w:sz w:val="16"/>
                <w:szCs w:val="16"/>
              </w:rPr>
              <w:t xml:space="preserve"> na </w:t>
            </w:r>
            <w:hyperlink r:id="rId12" w:history="1">
              <w:r w:rsidRPr="00404CF5">
                <w:rPr>
                  <w:rStyle w:val="Hypertextovodkaz"/>
                  <w:sz w:val="16"/>
                  <w:szCs w:val="16"/>
                </w:rPr>
                <w:t>http://www.mmr.cz/getmedia/540fffb4-3586-4351-95ed-7472fa2107d8/Proluka-final.pdf?ext=.pdf</w:t>
              </w:r>
            </w:hyperlink>
            <w:r w:rsidR="00A06E85">
              <w:rPr>
                <w:sz w:val="16"/>
                <w:szCs w:val="16"/>
              </w:rPr>
              <w:t>.</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25 odst. 5</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Vzdálenost stavby garáže a dalších staveb souvisejících a podmiňujících bydlení umístěných na pozemku rodinného domu nesmí být od společných hranic pozemků menší než 2 m.</w:t>
            </w:r>
          </w:p>
        </w:tc>
        <w:tc>
          <w:tcPr>
            <w:tcW w:w="2835" w:type="dxa"/>
          </w:tcPr>
          <w:p w:rsidR="00383CAD" w:rsidRPr="00CB3115" w:rsidRDefault="00383CAD" w:rsidP="00383CAD">
            <w:pPr>
              <w:rPr>
                <w:sz w:val="16"/>
                <w:szCs w:val="16"/>
              </w:rPr>
            </w:pP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25 odst. 6</w:t>
            </w:r>
          </w:p>
          <w:p w:rsidR="00383CAD" w:rsidRPr="00CB3115" w:rsidRDefault="00383CAD" w:rsidP="00383CAD">
            <w:pPr>
              <w:rPr>
                <w:sz w:val="16"/>
                <w:szCs w:val="16"/>
              </w:rPr>
            </w:pPr>
          </w:p>
          <w:p w:rsidR="00383CAD" w:rsidRPr="00CB3115" w:rsidRDefault="007726E7" w:rsidP="004D050A">
            <w:pPr>
              <w:rPr>
                <w:sz w:val="16"/>
                <w:szCs w:val="16"/>
              </w:rPr>
            </w:pPr>
            <w:r w:rsidRPr="00CB3115">
              <w:rPr>
                <w:sz w:val="16"/>
                <w:szCs w:val="16"/>
              </w:rPr>
              <w:t>S ohledem na charakter zástavby je možno umístit až na hranici pozemku rodinný dům, garáž a další stavby a zařízení související s užíváním rodinného domu. V takovém případě nesmí být ve stěně na hranici pozemku žádné stavební otvory, zejména okna, větrací otvory; musí být zamezeno stékání dešťových vod nebo spadu sněhu ze stavby na sousední pozemek; stavba, její část nesmí přesahovat na sousední pozemek.</w:t>
            </w:r>
          </w:p>
        </w:tc>
        <w:tc>
          <w:tcPr>
            <w:tcW w:w="2835" w:type="dxa"/>
          </w:tcPr>
          <w:p w:rsidR="00383CAD" w:rsidRPr="00CB3115" w:rsidRDefault="007726E7" w:rsidP="00383CAD">
            <w:pPr>
              <w:rPr>
                <w:sz w:val="16"/>
                <w:szCs w:val="16"/>
              </w:rPr>
            </w:pPr>
            <w:r w:rsidRPr="00CB3115">
              <w:rPr>
                <w:sz w:val="16"/>
                <w:szCs w:val="16"/>
              </w:rPr>
              <w:t>Ustanovení § 25 odst. 6 se vztahuje pouze na „rodinný dům, garáž a další stavby a zařízení související s užíváním rodinného domu“. Umístění ostatních staveb</w:t>
            </w:r>
            <w:r w:rsidR="004D050A">
              <w:rPr>
                <w:sz w:val="16"/>
                <w:szCs w:val="16"/>
              </w:rPr>
              <w:t xml:space="preserve"> (za splnění § 21 odst. 4 vyhlášky)</w:t>
            </w:r>
            <w:r w:rsidRPr="00CB3115">
              <w:rPr>
                <w:sz w:val="16"/>
                <w:szCs w:val="16"/>
              </w:rPr>
              <w:t xml:space="preserve"> na hranici pozemku vyloučeno není za předpokladu, že jsou dodrženy obecné požadavky pro odstupy staveb vymezené v § 25 odst. 1. (NSS 8 As 37/2013 – 40).</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25 odst. 7</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Vzdálenost průčelí budov, v nichž jsou okna obytných místností, musí být nejméně 3 m od okraje vozovky silnice nebo místní komunikace; tento požadavek se neuplatní u budov umisťovaných ve stavebních prolukách řadové zástavby a u budov, jejichž umístění stanoví vydaná územně plánovací dokumentace.</w:t>
            </w:r>
          </w:p>
        </w:tc>
        <w:tc>
          <w:tcPr>
            <w:tcW w:w="2835" w:type="dxa"/>
          </w:tcPr>
          <w:p w:rsidR="00CE27D4" w:rsidRDefault="007726E7" w:rsidP="009E2617">
            <w:pPr>
              <w:rPr>
                <w:sz w:val="16"/>
                <w:szCs w:val="16"/>
              </w:rPr>
            </w:pPr>
            <w:r w:rsidRPr="00CB3115">
              <w:rPr>
                <w:sz w:val="16"/>
                <w:szCs w:val="16"/>
              </w:rPr>
              <w:t xml:space="preserve"> </w:t>
            </w:r>
            <w:r w:rsidR="00A70110">
              <w:rPr>
                <w:sz w:val="16"/>
                <w:szCs w:val="16"/>
              </w:rPr>
              <w:t xml:space="preserve">Pozemní komunikace se dle § 2 zákona č. 13/1997 Sb., o pozemních </w:t>
            </w:r>
            <w:r w:rsidR="00A70110" w:rsidRPr="00A70110">
              <w:rPr>
                <w:sz w:val="16"/>
                <w:szCs w:val="16"/>
              </w:rPr>
              <w:t xml:space="preserve">komunikacích dělí na </w:t>
            </w:r>
            <w:r w:rsidR="00A70110">
              <w:rPr>
                <w:sz w:val="16"/>
                <w:szCs w:val="16"/>
              </w:rPr>
              <w:t>tyto kategorie:</w:t>
            </w:r>
          </w:p>
          <w:p w:rsidR="00CE27D4" w:rsidRPr="006664B9" w:rsidRDefault="00F010CB" w:rsidP="006664B9">
            <w:pPr>
              <w:pStyle w:val="Textkomente"/>
              <w:spacing w:before="0"/>
              <w:rPr>
                <w:sz w:val="16"/>
                <w:szCs w:val="16"/>
              </w:rPr>
            </w:pPr>
            <w:r w:rsidRPr="006664B9">
              <w:rPr>
                <w:sz w:val="16"/>
                <w:szCs w:val="16"/>
              </w:rPr>
              <w:t>a) dálnice,</w:t>
            </w:r>
          </w:p>
          <w:p w:rsidR="00CE27D4" w:rsidRPr="006664B9" w:rsidRDefault="00F010CB" w:rsidP="006664B9">
            <w:pPr>
              <w:pStyle w:val="Textkomente"/>
              <w:spacing w:before="0"/>
              <w:rPr>
                <w:sz w:val="16"/>
                <w:szCs w:val="16"/>
              </w:rPr>
            </w:pPr>
            <w:r w:rsidRPr="006664B9">
              <w:rPr>
                <w:sz w:val="16"/>
                <w:szCs w:val="16"/>
              </w:rPr>
              <w:t>b) silnice,</w:t>
            </w:r>
          </w:p>
          <w:p w:rsidR="00CE27D4" w:rsidRPr="006664B9" w:rsidRDefault="00F010CB" w:rsidP="006664B9">
            <w:pPr>
              <w:pStyle w:val="Textkomente"/>
              <w:spacing w:before="0"/>
              <w:rPr>
                <w:sz w:val="16"/>
                <w:szCs w:val="16"/>
              </w:rPr>
            </w:pPr>
            <w:r w:rsidRPr="006664B9">
              <w:rPr>
                <w:sz w:val="16"/>
                <w:szCs w:val="16"/>
              </w:rPr>
              <w:t>c) místní komunikace,</w:t>
            </w:r>
          </w:p>
          <w:p w:rsidR="00A70110" w:rsidRPr="00CB3115" w:rsidRDefault="00F010CB" w:rsidP="009E2617">
            <w:pPr>
              <w:pStyle w:val="Textkomente"/>
              <w:spacing w:before="0"/>
              <w:rPr>
                <w:sz w:val="16"/>
                <w:szCs w:val="16"/>
              </w:rPr>
            </w:pPr>
            <w:r w:rsidRPr="006664B9">
              <w:rPr>
                <w:sz w:val="16"/>
                <w:szCs w:val="16"/>
              </w:rPr>
              <w:t>d) účelová komunikace.</w:t>
            </w:r>
          </w:p>
        </w:tc>
      </w:tr>
      <w:tr w:rsidR="00383CAD" w:rsidRPr="00CB3115" w:rsidTr="00383CAD">
        <w:tc>
          <w:tcPr>
            <w:tcW w:w="993" w:type="dxa"/>
            <w:vMerge w:val="restart"/>
          </w:tcPr>
          <w:p w:rsidR="00383CAD" w:rsidRPr="00CB3115" w:rsidRDefault="007726E7" w:rsidP="00383CAD">
            <w:pPr>
              <w:rPr>
                <w:b/>
                <w:sz w:val="16"/>
                <w:szCs w:val="16"/>
              </w:rPr>
            </w:pPr>
            <w:r w:rsidRPr="00CB3115">
              <w:rPr>
                <w:b/>
                <w:sz w:val="16"/>
                <w:szCs w:val="16"/>
              </w:rPr>
              <w:t>Vyhláška č. 268/2009 Sb.</w:t>
            </w:r>
          </w:p>
        </w:tc>
        <w:tc>
          <w:tcPr>
            <w:tcW w:w="6096" w:type="dxa"/>
          </w:tcPr>
          <w:p w:rsidR="00383CAD" w:rsidRPr="00CB3115" w:rsidRDefault="007726E7" w:rsidP="00383CAD">
            <w:pPr>
              <w:rPr>
                <w:b/>
                <w:sz w:val="16"/>
                <w:szCs w:val="16"/>
              </w:rPr>
            </w:pPr>
            <w:r w:rsidRPr="00CB3115">
              <w:rPr>
                <w:b/>
                <w:sz w:val="16"/>
                <w:szCs w:val="16"/>
              </w:rPr>
              <w:t>§ 54</w:t>
            </w:r>
          </w:p>
          <w:p w:rsidR="00383CAD" w:rsidRPr="00CB3115" w:rsidRDefault="00383CAD" w:rsidP="00383CAD">
            <w:pPr>
              <w:rPr>
                <w:sz w:val="16"/>
                <w:szCs w:val="16"/>
              </w:rPr>
            </w:pPr>
          </w:p>
          <w:p w:rsidR="00383CAD" w:rsidRPr="00CB3115" w:rsidRDefault="007726E7" w:rsidP="00383CAD">
            <w:pPr>
              <w:rPr>
                <w:b/>
                <w:sz w:val="16"/>
                <w:szCs w:val="16"/>
              </w:rPr>
            </w:pPr>
            <w:r w:rsidRPr="00CB3115">
              <w:rPr>
                <w:b/>
                <w:sz w:val="16"/>
                <w:szCs w:val="16"/>
              </w:rPr>
              <w:t>Za podmínek stanovených v </w:t>
            </w:r>
            <w:hyperlink r:id="rId13" w:history="1">
              <w:r w:rsidRPr="000B4AE9">
                <w:rPr>
                  <w:rStyle w:val="Hypertextovodkaz"/>
                  <w:b/>
                  <w:color w:val="auto"/>
                  <w:sz w:val="16"/>
                  <w:szCs w:val="16"/>
                  <w:u w:val="none"/>
                </w:rPr>
                <w:t>§ 169 stavebního zákona</w:t>
              </w:r>
            </w:hyperlink>
            <w:r w:rsidRPr="00CB3115">
              <w:rPr>
                <w:b/>
                <w:sz w:val="16"/>
                <w:szCs w:val="16"/>
              </w:rPr>
              <w:t> lze v odůvodněných případech povolit výjimku z ustanovení § 5 odst. 2, § 10 odst. 3 a 5, § 11 odst. 2, § 12 odst. 2, § 13 odst. 2, § 18 odst. 6, § 40 odst. 4, § 41 odst. 5, § 44 odst. 2.</w:t>
            </w:r>
          </w:p>
          <w:p w:rsidR="00383CAD" w:rsidRPr="00CB3115" w:rsidRDefault="00383CAD" w:rsidP="00383CAD">
            <w:pPr>
              <w:rPr>
                <w:sz w:val="16"/>
                <w:szCs w:val="16"/>
              </w:rPr>
            </w:pPr>
          </w:p>
        </w:tc>
        <w:tc>
          <w:tcPr>
            <w:tcW w:w="2835" w:type="dxa"/>
          </w:tcPr>
          <w:p w:rsidR="00383CAD" w:rsidRPr="00CB3115" w:rsidRDefault="007726E7" w:rsidP="00640C76">
            <w:pPr>
              <w:rPr>
                <w:sz w:val="16"/>
                <w:szCs w:val="16"/>
              </w:rPr>
            </w:pPr>
            <w:r w:rsidRPr="00CB3115">
              <w:rPr>
                <w:sz w:val="16"/>
                <w:szCs w:val="16"/>
              </w:rPr>
              <w:t>Technické požadavky ve vztahu k jednotlivým ustanovením vyhlášky upravují příslušně technické normy ČSN, viz zveřejněný seznam dostupný na webových stránkách MMR</w:t>
            </w:r>
            <w:r w:rsidR="00640C76">
              <w:rPr>
                <w:sz w:val="16"/>
                <w:szCs w:val="16"/>
              </w:rPr>
              <w:t xml:space="preserve"> </w:t>
            </w:r>
            <w:hyperlink r:id="rId14" w:history="1">
              <w:r w:rsidR="00640C76" w:rsidRPr="00404CF5">
                <w:rPr>
                  <w:rStyle w:val="Hypertextovodkaz"/>
                  <w:sz w:val="16"/>
                  <w:szCs w:val="16"/>
                </w:rPr>
                <w:t>http://www.mmr.cz/cs/Uzemni-a-bytova-politika/Uzemni-planovani-a-stavebni-rad/Pravo-a-legislativa-(1)/Normy-CSN-a-souvisejici-informace</w:t>
              </w:r>
            </w:hyperlink>
            <w:r w:rsidR="00640C76">
              <w:rPr>
                <w:sz w:val="16"/>
                <w:szCs w:val="16"/>
              </w:rPr>
              <w:t>.</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5 odst. 2</w:t>
            </w:r>
          </w:p>
          <w:p w:rsidR="00383CAD" w:rsidRPr="00CB3115" w:rsidRDefault="00383CAD" w:rsidP="00383CAD">
            <w:pPr>
              <w:rPr>
                <w:sz w:val="16"/>
                <w:szCs w:val="16"/>
              </w:rPr>
            </w:pPr>
          </w:p>
          <w:p w:rsidR="00383CAD" w:rsidRDefault="007726E7" w:rsidP="00383CAD">
            <w:pPr>
              <w:rPr>
                <w:sz w:val="16"/>
                <w:szCs w:val="16"/>
              </w:rPr>
            </w:pPr>
            <w:r w:rsidRPr="00CB3115">
              <w:rPr>
                <w:sz w:val="16"/>
                <w:szCs w:val="16"/>
              </w:rPr>
              <w:t xml:space="preserve">Odstavná a parkovací stání se řeší jako součást stavby, nebo jako provozně </w:t>
            </w:r>
            <w:r w:rsidRPr="00CB3115">
              <w:rPr>
                <w:sz w:val="16"/>
                <w:szCs w:val="16"/>
              </w:rPr>
              <w:lastRenderedPageBreak/>
              <w:t>neoddělitelná část stavby, anebo na pozemku stavby, v souladu s normovými hodnotami, pokud tomu nebrání omezení vyplývající ze stanovených ochranných opatření.</w:t>
            </w:r>
          </w:p>
          <w:p w:rsidR="009E2617" w:rsidRDefault="009E2617" w:rsidP="00383CAD">
            <w:pPr>
              <w:rPr>
                <w:sz w:val="16"/>
                <w:szCs w:val="16"/>
              </w:rPr>
            </w:pPr>
          </w:p>
          <w:p w:rsidR="009E2617" w:rsidRPr="00CB3115" w:rsidRDefault="009E2617" w:rsidP="00383CAD">
            <w:pPr>
              <w:rPr>
                <w:sz w:val="16"/>
                <w:szCs w:val="16"/>
              </w:rPr>
            </w:pPr>
          </w:p>
        </w:tc>
        <w:tc>
          <w:tcPr>
            <w:tcW w:w="2835" w:type="dxa"/>
          </w:tcPr>
          <w:p w:rsidR="00383CAD" w:rsidRPr="00CB3115" w:rsidRDefault="007726E7" w:rsidP="00383CAD">
            <w:pPr>
              <w:rPr>
                <w:sz w:val="16"/>
                <w:szCs w:val="16"/>
              </w:rPr>
            </w:pPr>
            <w:r w:rsidRPr="00CB3115">
              <w:rPr>
                <w:sz w:val="16"/>
                <w:szCs w:val="16"/>
              </w:rPr>
              <w:lastRenderedPageBreak/>
              <w:t>Seznam ČSN k vyhlášce zveřejněn na webových stránkách MMR</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10 odst. 3</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Úroveň podlahy obytné místnosti nad upraveným terénem a nad hladinou podzemní vody je dána normovými hodnotami.</w:t>
            </w:r>
          </w:p>
        </w:tc>
        <w:tc>
          <w:tcPr>
            <w:tcW w:w="2835" w:type="dxa"/>
          </w:tcPr>
          <w:p w:rsidR="00383CAD" w:rsidRPr="00CB3115" w:rsidRDefault="007726E7" w:rsidP="00383CAD">
            <w:pPr>
              <w:rPr>
                <w:sz w:val="16"/>
                <w:szCs w:val="16"/>
              </w:rPr>
            </w:pPr>
            <w:r w:rsidRPr="00CB3115">
              <w:rPr>
                <w:sz w:val="16"/>
                <w:szCs w:val="16"/>
              </w:rPr>
              <w:t>Seznam ČSN k vyhlášce zveřejněn na webových stránkách MMR</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10 odst. 5</w:t>
            </w:r>
          </w:p>
          <w:p w:rsidR="00383CAD" w:rsidRPr="00CB3115" w:rsidRDefault="00383CAD" w:rsidP="00383CAD">
            <w:pPr>
              <w:rPr>
                <w:sz w:val="16"/>
                <w:szCs w:val="16"/>
              </w:rPr>
            </w:pPr>
          </w:p>
          <w:p w:rsidR="00CE27D4" w:rsidRDefault="007726E7" w:rsidP="006664B9">
            <w:pPr>
              <w:spacing w:before="0"/>
              <w:rPr>
                <w:sz w:val="16"/>
                <w:szCs w:val="16"/>
              </w:rPr>
            </w:pPr>
            <w:r w:rsidRPr="00CB3115">
              <w:rPr>
                <w:sz w:val="16"/>
                <w:szCs w:val="16"/>
              </w:rPr>
              <w:t>Světlá výška místností musí být alespoň</w:t>
            </w:r>
          </w:p>
          <w:tbl>
            <w:tblPr>
              <w:tblW w:w="10143" w:type="dxa"/>
              <w:tblCellSpacing w:w="0" w:type="dxa"/>
              <w:shd w:val="clear" w:color="auto" w:fill="FFFFFF"/>
              <w:tblLayout w:type="fixed"/>
              <w:tblCellMar>
                <w:left w:w="0" w:type="dxa"/>
                <w:right w:w="0" w:type="dxa"/>
              </w:tblCellMar>
              <w:tblLook w:val="04A0" w:firstRow="1" w:lastRow="0" w:firstColumn="1" w:lastColumn="0" w:noHBand="0" w:noVBand="1"/>
            </w:tblPr>
            <w:tblGrid>
              <w:gridCol w:w="238"/>
              <w:gridCol w:w="9905"/>
            </w:tblGrid>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a)</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2600 mm v obytných a pobytových místnostech,</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b)</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 xml:space="preserve">2300 mm v obytných a pobytových místnostech v podkroví; </w:t>
                  </w:r>
                </w:p>
                <w:p w:rsidR="00CE27D4" w:rsidRDefault="007726E7" w:rsidP="006664B9">
                  <w:pPr>
                    <w:spacing w:before="0"/>
                    <w:rPr>
                      <w:sz w:val="16"/>
                      <w:szCs w:val="16"/>
                    </w:rPr>
                  </w:pPr>
                  <w:r w:rsidRPr="00CB3115">
                    <w:rPr>
                      <w:sz w:val="16"/>
                      <w:szCs w:val="16"/>
                    </w:rPr>
                    <w:t xml:space="preserve">místnosti se zkosenými stropy musí mít tuto světlou výšku nejméně </w:t>
                  </w:r>
                </w:p>
                <w:p w:rsidR="00CE27D4" w:rsidRDefault="007726E7" w:rsidP="006664B9">
                  <w:pPr>
                    <w:spacing w:before="0"/>
                    <w:rPr>
                      <w:sz w:val="16"/>
                      <w:szCs w:val="16"/>
                    </w:rPr>
                  </w:pPr>
                  <w:r w:rsidRPr="00CB3115">
                    <w:rPr>
                      <w:sz w:val="16"/>
                      <w:szCs w:val="16"/>
                    </w:rPr>
                    <w:t>nad polovinou podlahové plochy místnosti,</w:t>
                  </w:r>
                </w:p>
                <w:p w:rsidR="00CE27D4" w:rsidRDefault="007726E7" w:rsidP="006664B9">
                  <w:pPr>
                    <w:spacing w:before="0"/>
                    <w:rPr>
                      <w:sz w:val="16"/>
                      <w:szCs w:val="16"/>
                    </w:rPr>
                  </w:pPr>
                  <w:r w:rsidRPr="00CB3115">
                    <w:rPr>
                      <w:sz w:val="16"/>
                      <w:szCs w:val="16"/>
                    </w:rPr>
                    <w:t>pokud ustanovení části šesté této vyhlášky nestanoví jinak,</w:t>
                  </w:r>
                </w:p>
              </w:tc>
            </w:tr>
            <w:tr w:rsidR="00383CAD" w:rsidRPr="00CB3115" w:rsidTr="00383CAD">
              <w:trPr>
                <w:tblCellSpacing w:w="0" w:type="dxa"/>
              </w:trPr>
              <w:tc>
                <w:tcPr>
                  <w:tcW w:w="238" w:type="dxa"/>
                  <w:shd w:val="clear" w:color="auto" w:fill="FFFFFF"/>
                  <w:tcMar>
                    <w:top w:w="40" w:type="dxa"/>
                    <w:left w:w="0" w:type="dxa"/>
                    <w:bottom w:w="0" w:type="dxa"/>
                    <w:right w:w="0" w:type="dxa"/>
                  </w:tcMar>
                  <w:hideMark/>
                </w:tcPr>
                <w:p w:rsidR="00CE27D4" w:rsidRDefault="007726E7" w:rsidP="006664B9">
                  <w:pPr>
                    <w:spacing w:before="0"/>
                    <w:rPr>
                      <w:sz w:val="16"/>
                      <w:szCs w:val="16"/>
                    </w:rPr>
                  </w:pPr>
                  <w:r w:rsidRPr="00CB3115">
                    <w:rPr>
                      <w:sz w:val="16"/>
                      <w:szCs w:val="16"/>
                    </w:rPr>
                    <w:t>c)</w:t>
                  </w:r>
                </w:p>
              </w:tc>
              <w:tc>
                <w:tcPr>
                  <w:tcW w:w="9905" w:type="dxa"/>
                  <w:shd w:val="clear" w:color="auto" w:fill="FFFFFF"/>
                  <w:tcMar>
                    <w:top w:w="40" w:type="dxa"/>
                    <w:left w:w="50" w:type="dxa"/>
                    <w:bottom w:w="0" w:type="dxa"/>
                    <w:right w:w="0" w:type="dxa"/>
                  </w:tcMar>
                  <w:vAlign w:val="center"/>
                  <w:hideMark/>
                </w:tcPr>
                <w:p w:rsidR="00CE27D4" w:rsidRDefault="007726E7" w:rsidP="006664B9">
                  <w:pPr>
                    <w:spacing w:before="0"/>
                    <w:rPr>
                      <w:sz w:val="16"/>
                      <w:szCs w:val="16"/>
                    </w:rPr>
                  </w:pPr>
                  <w:r w:rsidRPr="00CB3115">
                    <w:rPr>
                      <w:sz w:val="16"/>
                      <w:szCs w:val="16"/>
                    </w:rPr>
                    <w:t>v průmyslových stavbách podle jiného předpisu.</w:t>
                  </w:r>
                </w:p>
              </w:tc>
            </w:tr>
          </w:tbl>
          <w:p w:rsidR="00383CAD" w:rsidRPr="00CB3115" w:rsidRDefault="00383CAD" w:rsidP="00383CAD">
            <w:pPr>
              <w:rPr>
                <w:sz w:val="16"/>
                <w:szCs w:val="16"/>
              </w:rPr>
            </w:pPr>
          </w:p>
        </w:tc>
        <w:tc>
          <w:tcPr>
            <w:tcW w:w="2835" w:type="dxa"/>
          </w:tcPr>
          <w:p w:rsidR="00383CAD" w:rsidRPr="00CB3115" w:rsidRDefault="007726E7" w:rsidP="00383CAD">
            <w:pPr>
              <w:rPr>
                <w:sz w:val="16"/>
                <w:szCs w:val="16"/>
              </w:rPr>
            </w:pPr>
            <w:r w:rsidRPr="00CB3115">
              <w:rPr>
                <w:sz w:val="16"/>
                <w:szCs w:val="16"/>
              </w:rPr>
              <w:t>Seznam ČSN k vyhlášce zveřejněn na webových stránkách MMR</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11 odst. 2</w:t>
            </w:r>
          </w:p>
          <w:p w:rsidR="00383CAD" w:rsidRPr="00CB3115" w:rsidRDefault="00383CAD" w:rsidP="00383CAD">
            <w:pPr>
              <w:rPr>
                <w:sz w:val="16"/>
                <w:szCs w:val="16"/>
              </w:rPr>
            </w:pPr>
          </w:p>
          <w:p w:rsidR="001F759A" w:rsidRPr="00CB3115" w:rsidRDefault="007726E7" w:rsidP="00383CAD">
            <w:pPr>
              <w:rPr>
                <w:sz w:val="16"/>
                <w:szCs w:val="16"/>
              </w:rPr>
            </w:pPr>
            <w:r w:rsidRPr="00CB3115">
              <w:rPr>
                <w:sz w:val="16"/>
                <w:szCs w:val="16"/>
              </w:rPr>
              <w:t>Obytné místnosti musí mít zajištěno denní osvětlení v souladu s normovými hodnotami.</w:t>
            </w:r>
          </w:p>
        </w:tc>
        <w:tc>
          <w:tcPr>
            <w:tcW w:w="2835" w:type="dxa"/>
          </w:tcPr>
          <w:p w:rsidR="00383CAD" w:rsidRPr="00CB3115" w:rsidRDefault="007726E7" w:rsidP="00383CAD">
            <w:pPr>
              <w:rPr>
                <w:sz w:val="16"/>
                <w:szCs w:val="16"/>
              </w:rPr>
            </w:pPr>
            <w:r w:rsidRPr="00CB3115">
              <w:rPr>
                <w:sz w:val="16"/>
                <w:szCs w:val="16"/>
              </w:rPr>
              <w:t>Seznam ČSN k vyhlášce zveřejněn na webových stránkách MMR</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12 odst. 2</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 xml:space="preserve">Větrání a denní osvětlení příslušenství bytu je přípustné i ze světlíkových a větracích šachet, mají-li půdorys nejméně 5 m2 a délku kratší strany nejméně 1500 mm. Jejich dno </w:t>
            </w:r>
            <w:r w:rsidR="00156CBE">
              <w:rPr>
                <w:sz w:val="16"/>
                <w:szCs w:val="16"/>
              </w:rPr>
              <w:t xml:space="preserve"> </w:t>
            </w:r>
            <w:r w:rsidRPr="00CB3115">
              <w:rPr>
                <w:sz w:val="16"/>
                <w:szCs w:val="16"/>
              </w:rPr>
              <w:t>musí být přístupné, snadno čistitelné a musí mít odtok se zápachovým uzávěrem.</w:t>
            </w:r>
          </w:p>
        </w:tc>
        <w:tc>
          <w:tcPr>
            <w:tcW w:w="2835" w:type="dxa"/>
          </w:tcPr>
          <w:p w:rsidR="00383CAD" w:rsidRPr="00CB3115" w:rsidRDefault="007726E7" w:rsidP="00383CAD">
            <w:pPr>
              <w:rPr>
                <w:sz w:val="16"/>
                <w:szCs w:val="16"/>
              </w:rPr>
            </w:pPr>
            <w:r w:rsidRPr="00CB3115">
              <w:rPr>
                <w:sz w:val="16"/>
                <w:szCs w:val="16"/>
              </w:rPr>
              <w:t>Seznam ČSN k vyhlášce zveřejněn na webových stránkách MMR</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13 odst. 2</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Byt je prosluněn, je-li součet podlahových ploch jeho prosluněných obytných místností roven nejméně jedné třetině součtu podlahových ploch všech jeho obytných místností. Při posuzování proslunění se vychází z normových hodnot.</w:t>
            </w:r>
          </w:p>
        </w:tc>
        <w:tc>
          <w:tcPr>
            <w:tcW w:w="2835" w:type="dxa"/>
          </w:tcPr>
          <w:p w:rsidR="00383CAD" w:rsidRPr="00CB3115" w:rsidRDefault="007726E7" w:rsidP="00383CAD">
            <w:pPr>
              <w:rPr>
                <w:sz w:val="16"/>
                <w:szCs w:val="16"/>
              </w:rPr>
            </w:pPr>
            <w:r w:rsidRPr="00CB3115">
              <w:rPr>
                <w:sz w:val="16"/>
                <w:szCs w:val="16"/>
              </w:rPr>
              <w:t>Seznam ČSN k vyhlášce zveřejněn na webových stránkách MMR</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18 odst. 6</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Podzemní stavební konstrukce, oddělující vnitřní prostory od okolní zeminy nebo od základů, se musí izolovat proti zemní vlhkosti, popřípadě proti podzemní vodě.</w:t>
            </w:r>
          </w:p>
        </w:tc>
        <w:tc>
          <w:tcPr>
            <w:tcW w:w="2835" w:type="dxa"/>
          </w:tcPr>
          <w:p w:rsidR="00383CAD" w:rsidRPr="00CB3115" w:rsidRDefault="007726E7" w:rsidP="00383CAD">
            <w:pPr>
              <w:rPr>
                <w:sz w:val="16"/>
                <w:szCs w:val="16"/>
              </w:rPr>
            </w:pPr>
            <w:r w:rsidRPr="00CB3115">
              <w:rPr>
                <w:sz w:val="16"/>
                <w:szCs w:val="16"/>
              </w:rPr>
              <w:t>Seznam ČSN k vyhlášce zveřejněn na webových stránkách MMR</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40 odst. 4</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U hlavních schodišť a u chodeb v rodinném domě a ve stavbě pro rodinnou rekreaci musí být nejmenší podchodná výška 2100 mm a nejmenší průchodná šířka 900 mm; u pomocných schodišť je nejmenší průchodná šířka 750 mm.</w:t>
            </w:r>
          </w:p>
        </w:tc>
        <w:tc>
          <w:tcPr>
            <w:tcW w:w="2835" w:type="dxa"/>
          </w:tcPr>
          <w:p w:rsidR="00383CAD" w:rsidRPr="00CB3115" w:rsidRDefault="007726E7" w:rsidP="00383CAD">
            <w:pPr>
              <w:rPr>
                <w:sz w:val="16"/>
                <w:szCs w:val="16"/>
              </w:rPr>
            </w:pPr>
            <w:r w:rsidRPr="00CB3115">
              <w:rPr>
                <w:sz w:val="16"/>
                <w:szCs w:val="16"/>
              </w:rPr>
              <w:t>Seznam ČSN k vyhlášce zveřejněn na webových stránkách MMR</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41 odst. 5</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Vždy pro 50 žen nebo 100 mužů musí být k dispozici alespoň jedna samostatná místnost se záchodovou mísou a dále vždy pro 50 mužů jedno pisoárové stání nebo mušle a alespoň jedna samostatná místnost se záchodovou mísou pro osoby používající vozík pro invalidy. Personál musí mít hygienické zařízení oddělené od zařízení pro veřejnost. Hygienické zařízení musí být vždy uspořádáno podle pohlaví odděleně. Stavebně technické provedení musí odpovídat normovým hodnotám.</w:t>
            </w:r>
          </w:p>
        </w:tc>
        <w:tc>
          <w:tcPr>
            <w:tcW w:w="2835" w:type="dxa"/>
          </w:tcPr>
          <w:p w:rsidR="00383CAD" w:rsidRPr="00CB3115" w:rsidRDefault="007726E7" w:rsidP="00383CAD">
            <w:pPr>
              <w:rPr>
                <w:sz w:val="16"/>
                <w:szCs w:val="16"/>
              </w:rPr>
            </w:pPr>
            <w:r w:rsidRPr="00CB3115">
              <w:rPr>
                <w:sz w:val="16"/>
                <w:szCs w:val="16"/>
              </w:rPr>
              <w:t>Seznam ČSN k vyhlášce zveřejněn na webových stránkách MMR</w:t>
            </w:r>
          </w:p>
        </w:tc>
      </w:tr>
      <w:tr w:rsidR="00383CAD" w:rsidRPr="00CB3115" w:rsidTr="00383CAD">
        <w:tc>
          <w:tcPr>
            <w:tcW w:w="993" w:type="dxa"/>
            <w:vMerge/>
          </w:tcPr>
          <w:p w:rsidR="00383CAD" w:rsidRPr="00CB3115" w:rsidRDefault="00383CAD" w:rsidP="00383CAD">
            <w:pPr>
              <w:rPr>
                <w:sz w:val="16"/>
                <w:szCs w:val="16"/>
              </w:rPr>
            </w:pPr>
          </w:p>
        </w:tc>
        <w:tc>
          <w:tcPr>
            <w:tcW w:w="6096" w:type="dxa"/>
          </w:tcPr>
          <w:p w:rsidR="00383CAD" w:rsidRPr="00CB3115" w:rsidRDefault="007726E7" w:rsidP="00383CAD">
            <w:pPr>
              <w:rPr>
                <w:b/>
                <w:sz w:val="16"/>
                <w:szCs w:val="16"/>
              </w:rPr>
            </w:pPr>
            <w:r w:rsidRPr="00CB3115">
              <w:rPr>
                <w:b/>
                <w:sz w:val="16"/>
                <w:szCs w:val="16"/>
              </w:rPr>
              <w:t>§ 44 odst. 2</w:t>
            </w:r>
          </w:p>
          <w:p w:rsidR="00383CAD" w:rsidRPr="00CB3115" w:rsidRDefault="00383CAD" w:rsidP="00383CAD">
            <w:pPr>
              <w:rPr>
                <w:sz w:val="16"/>
                <w:szCs w:val="16"/>
              </w:rPr>
            </w:pPr>
          </w:p>
          <w:p w:rsidR="00383CAD" w:rsidRPr="00CB3115" w:rsidRDefault="007726E7" w:rsidP="00383CAD">
            <w:pPr>
              <w:rPr>
                <w:sz w:val="16"/>
                <w:szCs w:val="16"/>
              </w:rPr>
            </w:pPr>
            <w:r w:rsidRPr="00CB3115">
              <w:rPr>
                <w:sz w:val="16"/>
                <w:szCs w:val="16"/>
              </w:rPr>
              <w:t>Hygienické zařízení ubytovací jednotky musí mít plochu nejméně 4 m</w:t>
            </w:r>
            <w:r w:rsidRPr="00CB3115">
              <w:rPr>
                <w:sz w:val="16"/>
                <w:szCs w:val="16"/>
                <w:vertAlign w:val="superscript"/>
              </w:rPr>
              <w:t>2</w:t>
            </w:r>
            <w:r w:rsidRPr="00CB3115">
              <w:rPr>
                <w:sz w:val="16"/>
                <w:szCs w:val="16"/>
              </w:rPr>
              <w:t>.</w:t>
            </w:r>
          </w:p>
        </w:tc>
        <w:tc>
          <w:tcPr>
            <w:tcW w:w="2835" w:type="dxa"/>
          </w:tcPr>
          <w:p w:rsidR="00383CAD" w:rsidRPr="00CB3115" w:rsidRDefault="007726E7" w:rsidP="00383CAD">
            <w:pPr>
              <w:rPr>
                <w:sz w:val="16"/>
                <w:szCs w:val="16"/>
              </w:rPr>
            </w:pPr>
            <w:r w:rsidRPr="00CB3115">
              <w:rPr>
                <w:sz w:val="16"/>
                <w:szCs w:val="16"/>
              </w:rPr>
              <w:t>Seznam ČSN k vyhlášce zveřejněn na webových stránkách MMR</w:t>
            </w:r>
          </w:p>
        </w:tc>
      </w:tr>
      <w:tr w:rsidR="00640C76" w:rsidRPr="00CB3115" w:rsidTr="00383CAD">
        <w:tc>
          <w:tcPr>
            <w:tcW w:w="993" w:type="dxa"/>
            <w:vMerge w:val="restart"/>
          </w:tcPr>
          <w:p w:rsidR="00640C76" w:rsidRPr="00CB3115" w:rsidRDefault="00640C76" w:rsidP="00383CAD">
            <w:pPr>
              <w:rPr>
                <w:b/>
                <w:sz w:val="16"/>
                <w:szCs w:val="16"/>
              </w:rPr>
            </w:pPr>
            <w:r w:rsidRPr="00CB3115">
              <w:rPr>
                <w:b/>
                <w:sz w:val="16"/>
                <w:szCs w:val="16"/>
              </w:rPr>
              <w:t>Vyhláška č. 398/2009 Sb.</w:t>
            </w:r>
          </w:p>
        </w:tc>
        <w:tc>
          <w:tcPr>
            <w:tcW w:w="6096" w:type="dxa"/>
          </w:tcPr>
          <w:p w:rsidR="00640C76" w:rsidRPr="00CB3115" w:rsidRDefault="00640C76" w:rsidP="00383CAD">
            <w:pPr>
              <w:rPr>
                <w:b/>
                <w:sz w:val="16"/>
                <w:szCs w:val="16"/>
              </w:rPr>
            </w:pPr>
            <w:r w:rsidRPr="00CB3115">
              <w:rPr>
                <w:b/>
                <w:sz w:val="16"/>
                <w:szCs w:val="16"/>
              </w:rPr>
              <w:t>§ 14</w:t>
            </w:r>
          </w:p>
          <w:p w:rsidR="00640C76" w:rsidRPr="00CB3115" w:rsidRDefault="00640C76" w:rsidP="00383CAD">
            <w:pPr>
              <w:rPr>
                <w:sz w:val="16"/>
                <w:szCs w:val="16"/>
              </w:rPr>
            </w:pPr>
          </w:p>
          <w:p w:rsidR="00640C76" w:rsidRPr="00CB3115" w:rsidRDefault="00640C76" w:rsidP="00383CAD">
            <w:pPr>
              <w:rPr>
                <w:b/>
                <w:sz w:val="16"/>
                <w:szCs w:val="16"/>
              </w:rPr>
            </w:pPr>
            <w:r w:rsidRPr="00CB3115">
              <w:rPr>
                <w:b/>
                <w:sz w:val="16"/>
                <w:szCs w:val="16"/>
              </w:rPr>
              <w:t xml:space="preserve">Za podmínek stanovených </w:t>
            </w:r>
            <w:r w:rsidRPr="000B4AE9">
              <w:rPr>
                <w:b/>
                <w:sz w:val="16"/>
                <w:szCs w:val="16"/>
              </w:rPr>
              <w:t>v </w:t>
            </w:r>
            <w:hyperlink r:id="rId15" w:history="1">
              <w:r w:rsidRPr="000B4AE9">
                <w:rPr>
                  <w:rStyle w:val="Hypertextovodkaz"/>
                  <w:b/>
                  <w:color w:val="auto"/>
                  <w:sz w:val="16"/>
                  <w:szCs w:val="16"/>
                  <w:u w:val="none"/>
                </w:rPr>
                <w:t>§ 169 stavebního zákona</w:t>
              </w:r>
            </w:hyperlink>
            <w:r w:rsidRPr="00CB3115">
              <w:rPr>
                <w:b/>
                <w:sz w:val="16"/>
                <w:szCs w:val="16"/>
              </w:rPr>
              <w:t> lze v odůvodněných případech povolit výjimku z ustanovení bodu 2.0.2. přílohy č. 1 k této vyhlášce, bodů 1.0.2., 1.1.2., 1.1.3., 1.1.5., 1.2.1., 2.0.1., 2.0.2., 2.1.1., 3.1. přílohy č. 2 k této vyhlášce a bodů 1.1.2., 2.1.1. až 2.1.3. přílohy č. 3 k této vyhlášce.</w:t>
            </w:r>
          </w:p>
        </w:tc>
        <w:tc>
          <w:tcPr>
            <w:tcW w:w="2835" w:type="dxa"/>
          </w:tcPr>
          <w:p w:rsidR="00640C76" w:rsidRPr="00CB3115" w:rsidRDefault="00640C76" w:rsidP="00F2050A">
            <w:pPr>
              <w:rPr>
                <w:sz w:val="16"/>
                <w:szCs w:val="16"/>
              </w:rPr>
            </w:pPr>
            <w:r w:rsidRPr="00CB3115">
              <w:rPr>
                <w:sz w:val="16"/>
                <w:szCs w:val="16"/>
              </w:rPr>
              <w:t xml:space="preserve">Certifikovaná metodika Ústavu územního rozvoje v Brně „Bezbariérové užívání staveb - metodika k vyhlášce č.398/2009 Sb., o obecných technických požadavcích zabezpečujících bezbariérové užívání staveb" zpracovaná Ing. Renatou Zdařilovou, Ph.D. v rámci </w:t>
            </w:r>
            <w:r w:rsidRPr="00CB3115">
              <w:rPr>
                <w:sz w:val="16"/>
                <w:szCs w:val="16"/>
              </w:rPr>
              <w:lastRenderedPageBreak/>
              <w:t>výzkumného programu Ministerstvem pro místní rozvoj WD – Výzkum pro řešení regionálních disparit, projektu č. WD-0507-3</w:t>
            </w:r>
            <w:r w:rsidR="00F2050A">
              <w:rPr>
                <w:sz w:val="16"/>
                <w:szCs w:val="16"/>
              </w:rPr>
              <w:t xml:space="preserve"> </w:t>
            </w:r>
            <w:r w:rsidR="00F2050A" w:rsidRPr="00CB3115">
              <w:rPr>
                <w:sz w:val="16"/>
                <w:szCs w:val="16"/>
              </w:rPr>
              <w:t>(dále jen „Metodika k</w:t>
            </w:r>
            <w:r w:rsidR="00F2050A">
              <w:rPr>
                <w:sz w:val="16"/>
                <w:szCs w:val="16"/>
              </w:rPr>
              <w:t> </w:t>
            </w:r>
            <w:r w:rsidR="00F2050A" w:rsidRPr="00CB3115">
              <w:rPr>
                <w:sz w:val="16"/>
                <w:szCs w:val="16"/>
              </w:rPr>
              <w:t>vyhlášce</w:t>
            </w:r>
            <w:r w:rsidR="00F2050A">
              <w:rPr>
                <w:sz w:val="16"/>
                <w:szCs w:val="16"/>
              </w:rPr>
              <w:t>“)</w:t>
            </w:r>
            <w:r w:rsidRPr="00CB3115">
              <w:rPr>
                <w:sz w:val="16"/>
                <w:szCs w:val="16"/>
              </w:rPr>
              <w:t>.</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2.0.2 přílohy č. 1</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Ve všech ramenech téhož schodiště musí být stejný počet stupňů. Počet stupňů za sebou může být nejméně 3 a nejvíce 16.</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73.</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1.0.2 přílohy č. 2</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Komunikace pro chodce musí mít celkovou šířku nejméně 1500 mm, včetně bezpečnostních odstupů.</w:t>
            </w:r>
          </w:p>
        </w:tc>
        <w:tc>
          <w:tcPr>
            <w:tcW w:w="2835" w:type="dxa"/>
          </w:tcPr>
          <w:p w:rsidR="00640C76" w:rsidRPr="00CB3115" w:rsidRDefault="00640C76" w:rsidP="00F2050A">
            <w:pPr>
              <w:rPr>
                <w:sz w:val="16"/>
                <w:szCs w:val="16"/>
              </w:rPr>
            </w:pPr>
            <w:r w:rsidRPr="00CB3115">
              <w:rPr>
                <w:sz w:val="16"/>
                <w:szCs w:val="16"/>
              </w:rPr>
              <w:t>ČSN 73 6110 Projektování místních komunikací</w:t>
            </w:r>
            <w:r w:rsidR="00F2050A">
              <w:rPr>
                <w:sz w:val="16"/>
                <w:szCs w:val="16"/>
              </w:rPr>
              <w:t xml:space="preserve"> + </w:t>
            </w:r>
            <w:r w:rsidRPr="00CB3115">
              <w:rPr>
                <w:sz w:val="16"/>
                <w:szCs w:val="16"/>
              </w:rPr>
              <w:t>Metodika k</w:t>
            </w:r>
            <w:r w:rsidR="00F2050A">
              <w:rPr>
                <w:sz w:val="16"/>
                <w:szCs w:val="16"/>
              </w:rPr>
              <w:t> </w:t>
            </w:r>
            <w:r w:rsidRPr="00CB3115">
              <w:rPr>
                <w:sz w:val="16"/>
                <w:szCs w:val="16"/>
              </w:rPr>
              <w:t>vyhlášce</w:t>
            </w:r>
            <w:r w:rsidR="00F2050A">
              <w:rPr>
                <w:sz w:val="16"/>
                <w:szCs w:val="16"/>
              </w:rPr>
              <w:t xml:space="preserve"> </w:t>
            </w:r>
            <w:r w:rsidRPr="00CB3115">
              <w:rPr>
                <w:sz w:val="16"/>
                <w:szCs w:val="16"/>
              </w:rPr>
              <w:t>s</w:t>
            </w:r>
            <w:r>
              <w:rPr>
                <w:sz w:val="16"/>
                <w:szCs w:val="16"/>
              </w:rPr>
              <w:t>tr</w:t>
            </w:r>
            <w:r w:rsidRPr="00CB3115">
              <w:rPr>
                <w:sz w:val="16"/>
                <w:szCs w:val="16"/>
              </w:rPr>
              <w:t xml:space="preserve">. 87 </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1.1.2 přílohy č. 2</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Komunikace pro chodce smí mít podélný sklon nejvýše v poměru 1:12 (8,33%) a příčný sklon nejvýše v poměru 1:50 (2,0%), u mostních objektů nejvýše v poměru 1:40 (2,5 %).</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xml:space="preserve">.89–90. </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1.1.3 přílohy č. 2</w:t>
            </w:r>
          </w:p>
          <w:p w:rsidR="00640C76" w:rsidRPr="00CB3115" w:rsidRDefault="00640C76" w:rsidP="00383CAD">
            <w:pPr>
              <w:rPr>
                <w:sz w:val="16"/>
                <w:szCs w:val="16"/>
              </w:rPr>
            </w:pPr>
          </w:p>
          <w:p w:rsidR="00640C76" w:rsidRPr="00CB3115" w:rsidRDefault="00640C76">
            <w:pPr>
              <w:rPr>
                <w:sz w:val="16"/>
                <w:szCs w:val="16"/>
              </w:rPr>
            </w:pPr>
            <w:r w:rsidRPr="00CB3115">
              <w:rPr>
                <w:sz w:val="16"/>
                <w:szCs w:val="16"/>
              </w:rPr>
              <w:t>Na úsecích s podélným sklonem větším než 1:20 (5,0%) a delších než 200 m, musí být zřízena odpočívadla o délce nejméně 1500 mm. Jejich sklon smí být pouze v jednom směru a nejvýše v poměru 1:50 (2,0%).</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90.</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1.1.5 přílohy č. 2</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Vyhrazené stání smí mít podélný sklon nejvýše v poměru 1:50 (2,0 %) a příčný sklon nejvýše v poměru 1:40 (2,5 %).</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92.</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1.2.1 přílohy č. 2</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Překážky na komunikacích pro chodce, zejména telefonní automaty, lavičky, pultový prodej, výkladce, stavby pro reklamu a informační nebo reklamní zařízení a stromy musí být osazeny tak, aby byl zachován průchozí prostor podél přirozené vodicí linie šířky nejméně 1500 mm.</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94.</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2.0.1 přílohy č. 2</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Přechody pro chodce bez řízení světelnou signalizací se mohou navrhovat nejvíce přes dva protisměrné jízdní pruhy nebo-li přes dvoupruhovou obousměrnou komunikaci. Přechod pro chodce přes dva souběžné jízdní pruhy před křižovatkou, z nichž jeden je pro odbočování vlevo nebo vpravo se připouští. Na nově navrhovaných komunikacích je největší délka neděleného přechodu mezi jeho obrubami v ose přecházení 6500 mm. U změn dokončených staveb se na stávajících přechodech může tato hodnota zvýšit až na 7000 mm. Uvedené požadavky platí obdobně také pro místa pro přecházení.</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103.</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2.0.2 přílohy č. 2</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Přechody pro chodce řízené světelnou signalizací se navrhují vždy přes dva nebo více jízdních pruhů. Na nově navrhovaných komunikacích je největší délka neděleného přechodu pro chodce se světelným řízením mezi jeho obrubami v</w:t>
            </w:r>
            <w:r w:rsidR="00156CBE">
              <w:rPr>
                <w:sz w:val="16"/>
                <w:szCs w:val="16"/>
              </w:rPr>
              <w:t xml:space="preserve"> </w:t>
            </w:r>
            <w:r w:rsidRPr="00CB3115">
              <w:rPr>
                <w:sz w:val="16"/>
                <w:szCs w:val="16"/>
              </w:rPr>
              <w:t>ose přecházení 9500 mm. V odůvodněných případech se u změn dokončených staveb v zastavěném území může tato hodnota zvýšit až na 12000 mm a na komunikacích s nezvýšeným tramvajovým pásem až na 17000 mm.</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xml:space="preserve">. 103–104. </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2.1.1 přílohy č. 2</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Přechody pro chodce, místa pro přecházení a koridory pro přecházení tramvajového pásu musí mít obrubník s výškou maximálně 20 mm. Navazující šikmé plochy pro chodce smí mít podélný sklon nejvýše v poměru 1:8 (12,5 %) a příčný sklon nejvýše v poměru 1:50 (2,0 %).</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106.</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3.1 přílohy č. 2</w:t>
            </w:r>
          </w:p>
          <w:p w:rsidR="00640C76" w:rsidRPr="00CB3115" w:rsidRDefault="00640C76" w:rsidP="00383CAD">
            <w:pPr>
              <w:rPr>
                <w:b/>
                <w:sz w:val="16"/>
                <w:szCs w:val="16"/>
              </w:rPr>
            </w:pPr>
          </w:p>
          <w:p w:rsidR="00640C76" w:rsidRPr="00CB3115" w:rsidRDefault="00640C76" w:rsidP="00383CAD">
            <w:pPr>
              <w:rPr>
                <w:sz w:val="16"/>
                <w:szCs w:val="16"/>
              </w:rPr>
            </w:pPr>
            <w:r w:rsidRPr="00CB3115">
              <w:rPr>
                <w:b/>
                <w:sz w:val="16"/>
                <w:szCs w:val="16"/>
              </w:rPr>
              <w:t>Řešení pro osoby s omezenou schopností pohybu</w:t>
            </w:r>
          </w:p>
          <w:p w:rsidR="00640C76" w:rsidRPr="00CB3115" w:rsidRDefault="00640C76" w:rsidP="00383CAD">
            <w:pPr>
              <w:rPr>
                <w:sz w:val="16"/>
                <w:szCs w:val="16"/>
              </w:rPr>
            </w:pPr>
            <w:r w:rsidRPr="00CB3115">
              <w:rPr>
                <w:sz w:val="16"/>
                <w:szCs w:val="16"/>
              </w:rPr>
              <w:t xml:space="preserve">Nástupiště autobusů a trolejbusů musí mít výšku 200 mm. Doporučuje se použití bezbariérového zastávkového obrubníku. U změn dokončených staveb lze tuto hodnotu snížit až na 160 mm. Nástupiště tramvají, metra, železnice, pozemních a </w:t>
            </w:r>
            <w:r w:rsidRPr="00CB3115">
              <w:rPr>
                <w:sz w:val="16"/>
                <w:szCs w:val="16"/>
              </w:rPr>
              <w:lastRenderedPageBreak/>
              <w:t>visutých kyvadlových lanových drah musí mít výšku odpovídající použitému vozovému parku tak, aby byl zajištěn bezbariérový přístup do dopravních prostředků.</w:t>
            </w:r>
          </w:p>
        </w:tc>
        <w:tc>
          <w:tcPr>
            <w:tcW w:w="2835" w:type="dxa"/>
          </w:tcPr>
          <w:p w:rsidR="00640C76" w:rsidRPr="00CB3115" w:rsidRDefault="00640C76" w:rsidP="00F2050A">
            <w:pPr>
              <w:rPr>
                <w:sz w:val="16"/>
                <w:szCs w:val="16"/>
              </w:rPr>
            </w:pPr>
            <w:r w:rsidRPr="00CB3115">
              <w:rPr>
                <w:sz w:val="16"/>
                <w:szCs w:val="16"/>
              </w:rPr>
              <w:lastRenderedPageBreak/>
              <w:t>Metodika k vyhlášce s</w:t>
            </w:r>
            <w:r>
              <w:rPr>
                <w:sz w:val="16"/>
                <w:szCs w:val="16"/>
              </w:rPr>
              <w:t>tr</w:t>
            </w:r>
            <w:r w:rsidRPr="00CB3115">
              <w:rPr>
                <w:sz w:val="16"/>
                <w:szCs w:val="16"/>
              </w:rPr>
              <w:t>. 115.</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1.1.2 přílohy č. 3</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Sklon plochy před vstupem do budovy smí být pouze v jednom směru a nejvýše v poměru 1:50 (2,0%).</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126.</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2.1.1 přílohy č. 3</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Bezbariérové rampy musí být široké nejméně 1500 mm a jejich podélný sklon smí být nejvýše v poměru 1:16 (6,25 %) a příčný sklon nejvýše v poměru 1:100 (1,0 %).</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131.</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2.1.2 přílohy č. 3</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Bezbariérová rampa delší než 9000 mm musí být přerušena podestou v délce nejméně 1500 mm. Podesty musí mít i kruhová nebo jinak zakřivená bezbariérová rampa.</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132.</w:t>
            </w:r>
          </w:p>
        </w:tc>
      </w:tr>
      <w:tr w:rsidR="00640C76" w:rsidRPr="00CB3115" w:rsidTr="00383CAD">
        <w:tc>
          <w:tcPr>
            <w:tcW w:w="993" w:type="dxa"/>
            <w:vMerge/>
          </w:tcPr>
          <w:p w:rsidR="00640C76" w:rsidRPr="00CB3115" w:rsidRDefault="00640C76" w:rsidP="00383CAD">
            <w:pPr>
              <w:rPr>
                <w:sz w:val="16"/>
                <w:szCs w:val="16"/>
              </w:rPr>
            </w:pPr>
          </w:p>
        </w:tc>
        <w:tc>
          <w:tcPr>
            <w:tcW w:w="6096" w:type="dxa"/>
          </w:tcPr>
          <w:p w:rsidR="00640C76" w:rsidRPr="00CB3115" w:rsidRDefault="00640C76" w:rsidP="00383CAD">
            <w:pPr>
              <w:rPr>
                <w:b/>
                <w:sz w:val="16"/>
                <w:szCs w:val="16"/>
              </w:rPr>
            </w:pPr>
            <w:r w:rsidRPr="00CB3115">
              <w:rPr>
                <w:b/>
                <w:sz w:val="16"/>
                <w:szCs w:val="16"/>
              </w:rPr>
              <w:t>Bod 2.1.3 přílohy č. 3</w:t>
            </w:r>
          </w:p>
          <w:p w:rsidR="00640C76" w:rsidRPr="00CB3115" w:rsidRDefault="00640C76" w:rsidP="00383CAD">
            <w:pPr>
              <w:rPr>
                <w:sz w:val="16"/>
                <w:szCs w:val="16"/>
              </w:rPr>
            </w:pPr>
          </w:p>
          <w:p w:rsidR="00640C76" w:rsidRPr="00CB3115" w:rsidRDefault="00640C76" w:rsidP="00383CAD">
            <w:pPr>
              <w:rPr>
                <w:sz w:val="16"/>
                <w:szCs w:val="16"/>
              </w:rPr>
            </w:pPr>
            <w:r w:rsidRPr="00CB3115">
              <w:rPr>
                <w:sz w:val="16"/>
                <w:szCs w:val="16"/>
              </w:rPr>
              <w:t>Podesty bezbariérových ramp smí mít sklon pouze v jednom směru a nejvýše v poměru 1:50 (2,0%).</w:t>
            </w:r>
          </w:p>
        </w:tc>
        <w:tc>
          <w:tcPr>
            <w:tcW w:w="2835" w:type="dxa"/>
          </w:tcPr>
          <w:p w:rsidR="00640C76" w:rsidRPr="00CB3115" w:rsidRDefault="00640C76" w:rsidP="00F2050A">
            <w:pPr>
              <w:rPr>
                <w:sz w:val="16"/>
                <w:szCs w:val="16"/>
              </w:rPr>
            </w:pPr>
            <w:r w:rsidRPr="00CB3115">
              <w:rPr>
                <w:sz w:val="16"/>
                <w:szCs w:val="16"/>
              </w:rPr>
              <w:t>Metodika k vyhlášce s</w:t>
            </w:r>
            <w:r>
              <w:rPr>
                <w:sz w:val="16"/>
                <w:szCs w:val="16"/>
              </w:rPr>
              <w:t>tr</w:t>
            </w:r>
            <w:r w:rsidRPr="00CB3115">
              <w:rPr>
                <w:sz w:val="16"/>
                <w:szCs w:val="16"/>
              </w:rPr>
              <w:t>. 132.</w:t>
            </w:r>
          </w:p>
        </w:tc>
      </w:tr>
    </w:tbl>
    <w:p w:rsidR="00BC4B4C" w:rsidRDefault="00BC4B4C" w:rsidP="00BC4B4C">
      <w:pPr>
        <w:spacing w:after="120"/>
        <w:ind w:left="360"/>
        <w:rPr>
          <w:b/>
          <w:sz w:val="24"/>
          <w:szCs w:val="24"/>
          <w:lang w:eastAsia="cs-CZ"/>
        </w:rPr>
      </w:pPr>
    </w:p>
    <w:p w:rsidR="009E2617" w:rsidRDefault="009E2617" w:rsidP="00BC4B4C">
      <w:pPr>
        <w:spacing w:after="120"/>
        <w:ind w:left="360"/>
        <w:rPr>
          <w:b/>
          <w:sz w:val="24"/>
          <w:szCs w:val="24"/>
          <w:lang w:eastAsia="cs-CZ"/>
        </w:rPr>
      </w:pPr>
    </w:p>
    <w:p w:rsidR="00BC4B4C" w:rsidRPr="00CB3115" w:rsidRDefault="007726E7" w:rsidP="00BC4B4C">
      <w:pPr>
        <w:pStyle w:val="Odstavecseseznamem"/>
        <w:numPr>
          <w:ilvl w:val="0"/>
          <w:numId w:val="2"/>
        </w:numPr>
        <w:spacing w:after="120"/>
        <w:rPr>
          <w:rFonts w:ascii="Arial" w:hAnsi="Arial" w:cs="Arial"/>
          <w:sz w:val="24"/>
          <w:szCs w:val="24"/>
          <w:lang w:eastAsia="cs-CZ"/>
        </w:rPr>
      </w:pPr>
      <w:r w:rsidRPr="00CB3115">
        <w:rPr>
          <w:rFonts w:ascii="Arial" w:hAnsi="Arial" w:cs="Arial"/>
          <w:b/>
          <w:sz w:val="24"/>
          <w:szCs w:val="24"/>
          <w:lang w:eastAsia="cs-CZ"/>
        </w:rPr>
        <w:t>Řízení o povolení výjimky</w:t>
      </w:r>
    </w:p>
    <w:p w:rsidR="00502232" w:rsidRPr="00F2050A" w:rsidRDefault="00502232" w:rsidP="00BC4B4C">
      <w:pPr>
        <w:pStyle w:val="Odstavecseseznamem"/>
        <w:spacing w:after="120"/>
        <w:rPr>
          <w:rFonts w:ascii="Arial" w:hAnsi="Arial" w:cs="Arial"/>
          <w:b/>
          <w:sz w:val="20"/>
          <w:szCs w:val="20"/>
          <w:lang w:eastAsia="cs-CZ"/>
        </w:rPr>
      </w:pPr>
    </w:p>
    <w:p w:rsidR="00BC4B4C" w:rsidRPr="00F2050A" w:rsidRDefault="007726E7" w:rsidP="00F2050A">
      <w:pPr>
        <w:pStyle w:val="Odstavecseseznamem"/>
        <w:numPr>
          <w:ilvl w:val="1"/>
          <w:numId w:val="2"/>
        </w:numPr>
        <w:spacing w:after="0"/>
        <w:ind w:hanging="720"/>
        <w:rPr>
          <w:rFonts w:ascii="Arial" w:hAnsi="Arial" w:cs="Arial"/>
          <w:b/>
          <w:lang w:eastAsia="cs-CZ"/>
        </w:rPr>
      </w:pPr>
      <w:r w:rsidRPr="00F2050A">
        <w:rPr>
          <w:rFonts w:ascii="Arial" w:hAnsi="Arial" w:cs="Arial"/>
          <w:b/>
          <w:lang w:eastAsia="cs-CZ"/>
        </w:rPr>
        <w:t>Žádost</w:t>
      </w:r>
    </w:p>
    <w:p w:rsidR="00BC4B4C" w:rsidRPr="00346EF0" w:rsidRDefault="007726E7" w:rsidP="00BC4B4C">
      <w:pPr>
        <w:spacing w:after="120"/>
        <w:rPr>
          <w:lang w:eastAsia="cs-CZ"/>
        </w:rPr>
      </w:pPr>
      <w:r w:rsidRPr="00346EF0">
        <w:rPr>
          <w:lang w:eastAsia="cs-CZ"/>
        </w:rPr>
        <w:t>Řízení o povolení výjimky je vždy návrhové řízení. Řízení o povolení výjimky nikdy nemůže zahájit stavební úřad z moci úřední. Žádost podává žadatel/stavebník, tj. právnická nebo fyzická osoba podle § 27 odst. 1 písm. a) správního řádu, který se stává hlavním účastníkem správního řízení.</w:t>
      </w:r>
    </w:p>
    <w:p w:rsidR="00BC4B4C" w:rsidRPr="00346EF0" w:rsidRDefault="007726E7" w:rsidP="00BC4B4C">
      <w:pPr>
        <w:spacing w:after="120"/>
        <w:rPr>
          <w:lang w:eastAsia="cs-CZ"/>
        </w:rPr>
      </w:pPr>
      <w:r w:rsidRPr="00346EF0">
        <w:rPr>
          <w:lang w:eastAsia="cs-CZ"/>
        </w:rPr>
        <w:t xml:space="preserve">Stavební úřad z moci úřední nebo na žádost žadatele </w:t>
      </w:r>
      <w:r w:rsidR="001E7AD9">
        <w:rPr>
          <w:lang w:eastAsia="cs-CZ"/>
        </w:rPr>
        <w:t>může spojit</w:t>
      </w:r>
      <w:r w:rsidR="001E7AD9" w:rsidRPr="00346EF0">
        <w:rPr>
          <w:lang w:eastAsia="cs-CZ"/>
        </w:rPr>
        <w:t xml:space="preserve"> </w:t>
      </w:r>
      <w:r w:rsidRPr="00346EF0">
        <w:rPr>
          <w:lang w:eastAsia="cs-CZ"/>
        </w:rPr>
        <w:t xml:space="preserve">řízení o povolení </w:t>
      </w:r>
      <w:r w:rsidR="00F2050A">
        <w:rPr>
          <w:lang w:eastAsia="cs-CZ"/>
        </w:rPr>
        <w:t xml:space="preserve">více </w:t>
      </w:r>
      <w:r w:rsidRPr="00346EF0">
        <w:rPr>
          <w:lang w:eastAsia="cs-CZ"/>
        </w:rPr>
        <w:t>výjimek, k nimž je příslušný dle § 140 správního řádu</w:t>
      </w:r>
      <w:r w:rsidR="001E7AD9">
        <w:rPr>
          <w:lang w:eastAsia="cs-CZ"/>
        </w:rPr>
        <w:t xml:space="preserve">, </w:t>
      </w:r>
      <w:r w:rsidR="001E7AD9" w:rsidRPr="001E7AD9">
        <w:rPr>
          <w:lang w:eastAsia="cs-CZ"/>
        </w:rPr>
        <w:t>pokud se týkají téhož předmětu řízení nebo spolu jinak věcně souvisejí anebo se týkají týchž účastníků, nebrání-li tomu povaha věci, účel řízení anebo ochrana práv nebo oprávněných zájmů účastníků</w:t>
      </w:r>
      <w:r w:rsidRPr="00346EF0">
        <w:rPr>
          <w:lang w:eastAsia="cs-CZ"/>
        </w:rPr>
        <w:t>. Stavební úřad může na základě pravidel uvedených v § 140 správního řádu spojit řízení o povolení výjimky</w:t>
      </w:r>
      <w:r w:rsidR="00D5634B">
        <w:rPr>
          <w:lang w:eastAsia="cs-CZ"/>
        </w:rPr>
        <w:t>/</w:t>
      </w:r>
      <w:r w:rsidR="00902A98">
        <w:rPr>
          <w:lang w:eastAsia="cs-CZ"/>
        </w:rPr>
        <w:t>výjimek</w:t>
      </w:r>
      <w:r w:rsidRPr="00346EF0">
        <w:rPr>
          <w:lang w:eastAsia="cs-CZ"/>
        </w:rPr>
        <w:t xml:space="preserve"> s řízením o rozhodnutí ve</w:t>
      </w:r>
      <w:r w:rsidR="00F2050A">
        <w:rPr>
          <w:lang w:eastAsia="cs-CZ"/>
        </w:rPr>
        <w:t> </w:t>
      </w:r>
      <w:r w:rsidRPr="00346EF0">
        <w:rPr>
          <w:lang w:eastAsia="cs-CZ"/>
        </w:rPr>
        <w:t xml:space="preserve">věci </w:t>
      </w:r>
      <w:r w:rsidRPr="00346EF0">
        <w:t>(</w:t>
      </w:r>
      <w:r w:rsidR="009540CC">
        <w:t>s územním nebo stavebním řízením, popř. se spojeným územním a stavebním řízením, event. též s řízením o dodatečném povolení stavby</w:t>
      </w:r>
      <w:r w:rsidR="00F2050A">
        <w:t>, apod.</w:t>
      </w:r>
      <w:r w:rsidRPr="00346EF0">
        <w:t>)</w:t>
      </w:r>
      <w:r w:rsidRPr="00346EF0">
        <w:rPr>
          <w:lang w:eastAsia="cs-CZ"/>
        </w:rPr>
        <w:t>.</w:t>
      </w:r>
      <w:r w:rsidR="00502232">
        <w:rPr>
          <w:lang w:eastAsia="cs-CZ"/>
        </w:rPr>
        <w:t xml:space="preserve"> </w:t>
      </w:r>
      <w:r w:rsidR="009540CC">
        <w:rPr>
          <w:lang w:eastAsia="cs-CZ"/>
        </w:rPr>
        <w:t xml:space="preserve">Je však třeba </w:t>
      </w:r>
      <w:r w:rsidR="00D5634B">
        <w:rPr>
          <w:lang w:eastAsia="cs-CZ"/>
        </w:rPr>
        <w:t>zdůraznit</w:t>
      </w:r>
      <w:r w:rsidR="009540CC">
        <w:rPr>
          <w:lang w:eastAsia="cs-CZ"/>
        </w:rPr>
        <w:t>, že okruhy účastníků takto spojených řízení nemusí být totožn</w:t>
      </w:r>
      <w:r w:rsidR="005A6F85">
        <w:rPr>
          <w:lang w:eastAsia="cs-CZ"/>
        </w:rPr>
        <w:t>é</w:t>
      </w:r>
      <w:r w:rsidR="009540CC">
        <w:rPr>
          <w:lang w:eastAsia="cs-CZ"/>
        </w:rPr>
        <w:t xml:space="preserve">. </w:t>
      </w:r>
      <w:r w:rsidR="009540CC" w:rsidRPr="009540CC">
        <w:rPr>
          <w:lang w:eastAsia="cs-CZ"/>
        </w:rPr>
        <w:t>Otázka, kdo je účastníkem, se pro účely společné</w:t>
      </w:r>
      <w:r w:rsidR="006F31EF">
        <w:rPr>
          <w:lang w:eastAsia="cs-CZ"/>
        </w:rPr>
        <w:t>ho</w:t>
      </w:r>
      <w:r w:rsidR="009540CC" w:rsidRPr="009540CC">
        <w:rPr>
          <w:lang w:eastAsia="cs-CZ"/>
        </w:rPr>
        <w:t xml:space="preserve"> řízení posuzuje tak, jako kdyby řízení probíhala samostatně</w:t>
      </w:r>
      <w:r w:rsidR="006F31EF">
        <w:rPr>
          <w:lang w:eastAsia="cs-CZ"/>
        </w:rPr>
        <w:t xml:space="preserve"> (srov. § 140 odst. 6 správního řádu)</w:t>
      </w:r>
      <w:r w:rsidR="001E7AD9">
        <w:rPr>
          <w:lang w:eastAsia="cs-CZ"/>
        </w:rPr>
        <w:t>.</w:t>
      </w:r>
    </w:p>
    <w:p w:rsidR="00BC4B4C" w:rsidRPr="00346EF0" w:rsidRDefault="007726E7" w:rsidP="00BC4B4C">
      <w:pPr>
        <w:spacing w:after="120"/>
      </w:pPr>
      <w:r w:rsidRPr="00346EF0">
        <w:t>Žádost o výjimku je podávána buď samostatně, nebo zároveň s žádostí o rozhodnutí ve věci. Žádost je možné podat též po zahájení řízení ve věci. Formulář žádosti o výjimku není vyhláškou č.</w:t>
      </w:r>
      <w:r w:rsidR="001E7AD9">
        <w:t> </w:t>
      </w:r>
      <w:r w:rsidRPr="00346EF0">
        <w:t>503/2006</w:t>
      </w:r>
      <w:r w:rsidR="001E7AD9">
        <w:t> </w:t>
      </w:r>
      <w:r w:rsidRPr="00346EF0">
        <w:t>Sb., o podrobnější úpravě územního rozhodování, územního opatření a stavebního řádu, ani jinými prováděcími právními předpisy předepsán. Žádost tak musí obsahovat obecné náležitosti podle § 45 správního řádu. Žádost musí tedy obsahovat náležitosti uvedené v § 37 odst. 2 správního řádu a musí z ní být patrné, co žadatel žádá nebo čeho se domáhá.</w:t>
      </w:r>
    </w:p>
    <w:p w:rsidR="00BC4B4C" w:rsidRPr="00346EF0" w:rsidRDefault="007726E7" w:rsidP="00F2050A">
      <w:r w:rsidRPr="00346EF0">
        <w:t>Žádost musí obsahovat tyto náležitosti:</w:t>
      </w:r>
    </w:p>
    <w:p w:rsidR="00CE27D4" w:rsidRDefault="007726E7" w:rsidP="006664B9">
      <w:pPr>
        <w:pStyle w:val="Odstavecseseznamem"/>
        <w:numPr>
          <w:ilvl w:val="0"/>
          <w:numId w:val="7"/>
        </w:numPr>
        <w:spacing w:after="120"/>
        <w:rPr>
          <w:rFonts w:ascii="Arial" w:hAnsi="Arial" w:cs="Arial"/>
          <w:sz w:val="20"/>
          <w:szCs w:val="20"/>
        </w:rPr>
      </w:pPr>
      <w:r w:rsidRPr="00346EF0">
        <w:rPr>
          <w:rFonts w:ascii="Arial" w:hAnsi="Arial" w:cs="Arial"/>
          <w:sz w:val="20"/>
          <w:szCs w:val="20"/>
        </w:rPr>
        <w:t>označení stavebního úřadu,</w:t>
      </w:r>
    </w:p>
    <w:p w:rsidR="00CE27D4" w:rsidRDefault="007726E7" w:rsidP="006664B9">
      <w:pPr>
        <w:pStyle w:val="Odstavecseseznamem"/>
        <w:numPr>
          <w:ilvl w:val="0"/>
          <w:numId w:val="7"/>
        </w:numPr>
        <w:spacing w:after="120"/>
        <w:rPr>
          <w:rFonts w:ascii="Arial" w:hAnsi="Arial" w:cs="Arial"/>
          <w:sz w:val="20"/>
          <w:szCs w:val="20"/>
        </w:rPr>
      </w:pPr>
      <w:r w:rsidRPr="00346EF0">
        <w:rPr>
          <w:rFonts w:ascii="Arial" w:hAnsi="Arial" w:cs="Arial"/>
          <w:sz w:val="20"/>
          <w:szCs w:val="20"/>
        </w:rPr>
        <w:t>označení žadatele podle § 37 odst. 2 správního řádu,</w:t>
      </w:r>
    </w:p>
    <w:p w:rsidR="00CE27D4" w:rsidRDefault="007726E7" w:rsidP="006664B9">
      <w:pPr>
        <w:pStyle w:val="Odstavecseseznamem"/>
        <w:numPr>
          <w:ilvl w:val="0"/>
          <w:numId w:val="7"/>
        </w:numPr>
        <w:spacing w:after="120"/>
        <w:rPr>
          <w:rFonts w:ascii="Arial" w:hAnsi="Arial" w:cs="Arial"/>
          <w:sz w:val="20"/>
          <w:szCs w:val="20"/>
        </w:rPr>
      </w:pPr>
      <w:r w:rsidRPr="00346EF0">
        <w:rPr>
          <w:rFonts w:ascii="Arial" w:hAnsi="Arial" w:cs="Arial"/>
          <w:sz w:val="20"/>
          <w:szCs w:val="20"/>
        </w:rPr>
        <w:t>označení dalších účastníků, jsou-li žadateli známi,</w:t>
      </w:r>
    </w:p>
    <w:p w:rsidR="00CE27D4" w:rsidRDefault="007726E7" w:rsidP="006664B9">
      <w:pPr>
        <w:pStyle w:val="Odstavecseseznamem"/>
        <w:numPr>
          <w:ilvl w:val="0"/>
          <w:numId w:val="7"/>
        </w:numPr>
        <w:spacing w:after="120"/>
        <w:rPr>
          <w:rFonts w:ascii="Arial" w:hAnsi="Arial" w:cs="Arial"/>
          <w:sz w:val="20"/>
          <w:szCs w:val="20"/>
        </w:rPr>
      </w:pPr>
      <w:r w:rsidRPr="00346EF0">
        <w:rPr>
          <w:rFonts w:ascii="Arial" w:hAnsi="Arial" w:cs="Arial"/>
          <w:sz w:val="20"/>
          <w:szCs w:val="20"/>
        </w:rPr>
        <w:t>označení</w:t>
      </w:r>
      <w:r w:rsidR="001E7AD9">
        <w:rPr>
          <w:rFonts w:ascii="Arial" w:hAnsi="Arial" w:cs="Arial"/>
          <w:sz w:val="20"/>
          <w:szCs w:val="20"/>
        </w:rPr>
        <w:t xml:space="preserve"> konkrétního ustanovení konkrétního právního předpisu, ze kterého</w:t>
      </w:r>
      <w:r w:rsidRPr="00346EF0">
        <w:rPr>
          <w:rFonts w:ascii="Arial" w:hAnsi="Arial" w:cs="Arial"/>
          <w:sz w:val="20"/>
          <w:szCs w:val="20"/>
        </w:rPr>
        <w:t xml:space="preserve"> žadatel žádá povolení výjimky,</w:t>
      </w:r>
    </w:p>
    <w:p w:rsidR="00CE27D4" w:rsidRDefault="007726E7" w:rsidP="006664B9">
      <w:pPr>
        <w:pStyle w:val="Odstavecseseznamem"/>
        <w:numPr>
          <w:ilvl w:val="0"/>
          <w:numId w:val="7"/>
        </w:numPr>
        <w:spacing w:after="120"/>
        <w:rPr>
          <w:rFonts w:ascii="Arial" w:hAnsi="Arial" w:cs="Arial"/>
          <w:sz w:val="20"/>
          <w:szCs w:val="20"/>
        </w:rPr>
      </w:pPr>
      <w:r w:rsidRPr="00346EF0">
        <w:rPr>
          <w:rFonts w:ascii="Arial" w:hAnsi="Arial" w:cs="Arial"/>
          <w:sz w:val="20"/>
          <w:szCs w:val="20"/>
        </w:rPr>
        <w:t>označení pozemku nebo stavby, ve vztahu k nimž má být výjimka povolena,</w:t>
      </w:r>
    </w:p>
    <w:p w:rsidR="00CE27D4" w:rsidRDefault="007726E7" w:rsidP="006664B9">
      <w:pPr>
        <w:pStyle w:val="Odstavecseseznamem"/>
        <w:numPr>
          <w:ilvl w:val="0"/>
          <w:numId w:val="7"/>
        </w:numPr>
        <w:spacing w:after="120"/>
        <w:rPr>
          <w:rFonts w:ascii="Arial" w:hAnsi="Arial" w:cs="Arial"/>
          <w:sz w:val="20"/>
          <w:szCs w:val="20"/>
        </w:rPr>
      </w:pPr>
      <w:r w:rsidRPr="00346EF0">
        <w:rPr>
          <w:rFonts w:ascii="Arial" w:hAnsi="Arial" w:cs="Arial"/>
          <w:sz w:val="20"/>
          <w:szCs w:val="20"/>
        </w:rPr>
        <w:t>označení pro jaký stavební záměr se žádá výjimk</w:t>
      </w:r>
      <w:r w:rsidR="00D5634B">
        <w:rPr>
          <w:rFonts w:ascii="Arial" w:hAnsi="Arial" w:cs="Arial"/>
          <w:sz w:val="20"/>
          <w:szCs w:val="20"/>
        </w:rPr>
        <w:t>a</w:t>
      </w:r>
      <w:r w:rsidRPr="00346EF0">
        <w:rPr>
          <w:rFonts w:ascii="Arial" w:hAnsi="Arial" w:cs="Arial"/>
          <w:sz w:val="20"/>
          <w:szCs w:val="20"/>
        </w:rPr>
        <w:t xml:space="preserve"> a v jakém rozsahu,</w:t>
      </w:r>
    </w:p>
    <w:p w:rsidR="00CE27D4" w:rsidRDefault="007726E7" w:rsidP="006664B9">
      <w:pPr>
        <w:pStyle w:val="Odstavecseseznamem"/>
        <w:numPr>
          <w:ilvl w:val="0"/>
          <w:numId w:val="7"/>
        </w:numPr>
        <w:spacing w:after="120"/>
        <w:rPr>
          <w:rFonts w:ascii="Arial" w:hAnsi="Arial" w:cs="Arial"/>
          <w:sz w:val="20"/>
          <w:szCs w:val="20"/>
        </w:rPr>
      </w:pPr>
      <w:r w:rsidRPr="00346EF0">
        <w:rPr>
          <w:rFonts w:ascii="Arial" w:hAnsi="Arial" w:cs="Arial"/>
          <w:sz w:val="20"/>
          <w:szCs w:val="20"/>
        </w:rPr>
        <w:t>o</w:t>
      </w:r>
      <w:bookmarkStart w:id="0" w:name="_GoBack"/>
      <w:bookmarkEnd w:id="0"/>
      <w:r w:rsidRPr="00346EF0">
        <w:rPr>
          <w:rFonts w:ascii="Arial" w:hAnsi="Arial" w:cs="Arial"/>
          <w:sz w:val="20"/>
          <w:szCs w:val="20"/>
        </w:rPr>
        <w:t>důvodnění žádosti.</w:t>
      </w:r>
    </w:p>
    <w:p w:rsidR="00BC4B4C" w:rsidRPr="00346EF0" w:rsidRDefault="007726E7" w:rsidP="00BC4B4C">
      <w:pPr>
        <w:spacing w:after="120"/>
      </w:pPr>
      <w:r w:rsidRPr="00346EF0">
        <w:lastRenderedPageBreak/>
        <w:t xml:space="preserve">Vzhledem k tomu, že podle § 169 odst. 2 stavebního zákona lze výjimku z obecných požadavků na výstavbu povolit pouze v jednotlivých odůvodněných případech, </w:t>
      </w:r>
      <w:r w:rsidR="00171500">
        <w:t>musí</w:t>
      </w:r>
      <w:r w:rsidRPr="00346EF0">
        <w:t xml:space="preserve"> být žádost řádně a</w:t>
      </w:r>
      <w:r w:rsidR="009E2617">
        <w:t> </w:t>
      </w:r>
      <w:r w:rsidRPr="00346EF0">
        <w:t>přesvědčivým způsobem zdůvodněna, zejména vzhledem k územně nebo stavebně technickým důvodům.</w:t>
      </w:r>
      <w:r w:rsidR="00171500">
        <w:t xml:space="preserve"> Důvody by se měly vztahovat ke všem pozitivním i negativním podmínkám udělení výjimky.  </w:t>
      </w:r>
      <w:r w:rsidRPr="00346EF0">
        <w:t xml:space="preserve"> </w:t>
      </w:r>
      <w:r w:rsidR="00FB7C66">
        <w:t>Z odůvodnění musí být zřejmé, že navrhovaným ř</w:t>
      </w:r>
      <w:r w:rsidR="00FB7C66" w:rsidRPr="00FB7C66">
        <w:t xml:space="preserve">ešením </w:t>
      </w:r>
      <w:r w:rsidR="00FB7C66">
        <w:t>bude</w:t>
      </w:r>
      <w:r w:rsidR="00FB7C66" w:rsidRPr="00FB7C66">
        <w:t xml:space="preserve"> dosaženo účelu sledovaného obecnými požadavky na výstavbu</w:t>
      </w:r>
      <w:r w:rsidR="00FB7C66">
        <w:t xml:space="preserve"> resp. toho konkrétního právního předpisu, ze kterého žadatel žádá výjimku a že </w:t>
      </w:r>
      <w:r w:rsidR="00FB7C66" w:rsidRPr="00FB7C66">
        <w:t xml:space="preserve">se </w:t>
      </w:r>
      <w:r w:rsidR="00FB7C66">
        <w:t>povolením výjimky</w:t>
      </w:r>
      <w:r w:rsidR="00FB7C66" w:rsidRPr="00FB7C66">
        <w:t xml:space="preserve"> neohrozí bezpečnost, ochrana zdraví a života osob a</w:t>
      </w:r>
      <w:r w:rsidR="00FB7C66">
        <w:t>ni</w:t>
      </w:r>
      <w:r w:rsidR="00FB7C66" w:rsidRPr="00FB7C66">
        <w:t xml:space="preserve"> sousední pozemky nebo stavby</w:t>
      </w:r>
      <w:r w:rsidR="00FB7C66">
        <w:t>.</w:t>
      </w:r>
    </w:p>
    <w:p w:rsidR="00E05441" w:rsidRDefault="00171500" w:rsidP="00BC4B4C">
      <w:pPr>
        <w:spacing w:after="120"/>
      </w:pPr>
      <w:r>
        <w:t xml:space="preserve">Podle § 4 odst. 2 stavebního zákona stavební úřady postupují ve vzájemné součinnosti s dotčenými orgány hájícími veřejné zájmy podle zvláštních právních předpisů. Dotčené orgány vydávají pro rozhodnutí a pro jiné úkony stavebního úřadu závazná stanoviska, nestanoví-li zvláštní právní předpis jinak. </w:t>
      </w:r>
      <w:r w:rsidR="000F2B39" w:rsidRPr="00346EF0">
        <w:t>Pro stanovení okruhu dotčených veřejných zájmů a tedy dotčených orgánů lze vycházet z</w:t>
      </w:r>
      <w:r w:rsidR="009E2617">
        <w:t> </w:t>
      </w:r>
      <w:r w:rsidR="000F2B39" w:rsidRPr="00346EF0">
        <w:t xml:space="preserve">aktualizované internetové příručky Ústavu územního rozvoje „Dotčené orgány v procesu územního plánování“, dostupné online na adrese: </w:t>
      </w:r>
      <w:hyperlink r:id="rId16" w:history="1">
        <w:r w:rsidRPr="00B64A6A">
          <w:rPr>
            <w:rStyle w:val="Hypertextovodkaz"/>
          </w:rPr>
          <w:t>http://www.uur.cz/default.asp?ID=2588</w:t>
        </w:r>
      </w:hyperlink>
      <w:r w:rsidR="00E05441">
        <w:rPr>
          <w:rStyle w:val="Hypertextovodkaz"/>
        </w:rPr>
        <w:t>.</w:t>
      </w:r>
      <w:r>
        <w:t xml:space="preserve"> </w:t>
      </w:r>
    </w:p>
    <w:p w:rsidR="00BC4B4C" w:rsidRDefault="007726E7" w:rsidP="00BC4B4C">
      <w:pPr>
        <w:spacing w:after="120"/>
      </w:pPr>
      <w:r w:rsidRPr="00346EF0">
        <w:t>Pokud žadatel zahájil již dříve územní řízení nebo stavební řízení, je oprávněn použít podklady, které si ve vztahu k tomuto řízení obstaral</w:t>
      </w:r>
      <w:r w:rsidR="00171500">
        <w:t>,</w:t>
      </w:r>
      <w:r w:rsidRPr="00346EF0">
        <w:t xml:space="preserve"> i pro potřeby řízení o výjimce.</w:t>
      </w:r>
      <w:r w:rsidR="00ED5F81">
        <w:t xml:space="preserve"> Závazná stanoviska dotčených orgánů lze však jako podklad pro řízení o výjimce použít pouze tehdy, pokud se dotčený orgán ve</w:t>
      </w:r>
      <w:r w:rsidR="00E05441">
        <w:t> </w:t>
      </w:r>
      <w:r w:rsidR="00ED5F81">
        <w:t xml:space="preserve">svém závazném stanovisku vyjadřuje </w:t>
      </w:r>
      <w:r w:rsidR="00171500">
        <w:t xml:space="preserve">i </w:t>
      </w:r>
      <w:r w:rsidR="00ED5F81">
        <w:t>k</w:t>
      </w:r>
      <w:r w:rsidR="00171500">
        <w:t xml:space="preserve"> požadované </w:t>
      </w:r>
      <w:r w:rsidR="00ED5F81">
        <w:t>výjimce.</w:t>
      </w:r>
    </w:p>
    <w:p w:rsidR="00FD1C1D" w:rsidRDefault="00FD1C1D" w:rsidP="00BC4B4C">
      <w:pPr>
        <w:spacing w:after="120"/>
      </w:pPr>
    </w:p>
    <w:p w:rsidR="00BC4B4C" w:rsidRPr="00E05441" w:rsidRDefault="007726E7" w:rsidP="00E05441">
      <w:pPr>
        <w:pStyle w:val="Odstavecseseznamem"/>
        <w:numPr>
          <w:ilvl w:val="1"/>
          <w:numId w:val="2"/>
        </w:numPr>
        <w:spacing w:after="0"/>
        <w:ind w:hanging="720"/>
        <w:rPr>
          <w:rFonts w:ascii="Arial" w:hAnsi="Arial" w:cs="Arial"/>
          <w:b/>
          <w:lang w:eastAsia="cs-CZ"/>
        </w:rPr>
      </w:pPr>
      <w:r w:rsidRPr="00E05441">
        <w:rPr>
          <w:rFonts w:ascii="Arial" w:hAnsi="Arial" w:cs="Arial"/>
          <w:b/>
          <w:lang w:eastAsia="cs-CZ"/>
        </w:rPr>
        <w:t>Účastníci řízení a dotčené orgány</w:t>
      </w:r>
    </w:p>
    <w:p w:rsidR="00E05441" w:rsidRDefault="007726E7" w:rsidP="00BC4B4C">
      <w:pPr>
        <w:rPr>
          <w:lang w:eastAsia="cs-CZ"/>
        </w:rPr>
      </w:pPr>
      <w:r w:rsidRPr="00346EF0">
        <w:rPr>
          <w:lang w:eastAsia="cs-CZ"/>
        </w:rPr>
        <w:t xml:space="preserve">Podle § 192 odst. 1 stavebního zákona se na postupy a řízení použijí ustanovení správního řádu, pokud stavební zákon nestanoví jinak. Vzhledem k tomu, že § 169 stavebního zákona účastníky řízení o povolení výjimky nestanoví, stanoví jej stavební úřad podle § 27 správního řádu. </w:t>
      </w:r>
    </w:p>
    <w:p w:rsidR="00BC4B4C" w:rsidRPr="00346EF0" w:rsidRDefault="007726E7" w:rsidP="00E05441">
      <w:r w:rsidRPr="00346EF0">
        <w:rPr>
          <w:lang w:eastAsia="cs-CZ"/>
        </w:rPr>
        <w:t>Účastníkem řízení bude vždy žadatel podle § 27 odst. 1 písm. a) správního řádu.</w:t>
      </w:r>
      <w:r w:rsidR="00E05441">
        <w:rPr>
          <w:lang w:eastAsia="cs-CZ"/>
        </w:rPr>
        <w:t xml:space="preserve"> </w:t>
      </w:r>
      <w:r w:rsidR="00A70F14">
        <w:rPr>
          <w:lang w:eastAsia="cs-CZ"/>
        </w:rPr>
        <w:t>Hlavním</w:t>
      </w:r>
      <w:r w:rsidRPr="00346EF0">
        <w:rPr>
          <w:lang w:eastAsia="cs-CZ"/>
        </w:rPr>
        <w:t xml:space="preserve"> účastníkem řízení budou podle § 27 odst. 1 písm. a) správního řádu </w:t>
      </w:r>
      <w:r w:rsidR="00A70F14">
        <w:rPr>
          <w:lang w:eastAsia="cs-CZ"/>
        </w:rPr>
        <w:t xml:space="preserve">i </w:t>
      </w:r>
      <w:r w:rsidRPr="00346EF0">
        <w:rPr>
          <w:lang w:eastAsia="cs-CZ"/>
        </w:rPr>
        <w:t>další dotčené osoby, na které se pro společenství práv a</w:t>
      </w:r>
      <w:r w:rsidR="00FB7C66">
        <w:rPr>
          <w:lang w:eastAsia="cs-CZ"/>
        </w:rPr>
        <w:t> </w:t>
      </w:r>
      <w:r w:rsidRPr="00346EF0">
        <w:rPr>
          <w:lang w:eastAsia="cs-CZ"/>
        </w:rPr>
        <w:t>povinností s žadatelem musí vztahovat rozhodnutí správního orgánu. Vedlejší účastníky řízení dle §</w:t>
      </w:r>
      <w:r w:rsidR="00FB7C66">
        <w:rPr>
          <w:lang w:eastAsia="cs-CZ"/>
        </w:rPr>
        <w:t> </w:t>
      </w:r>
      <w:r w:rsidRPr="00346EF0">
        <w:rPr>
          <w:lang w:eastAsia="cs-CZ"/>
        </w:rPr>
        <w:t xml:space="preserve">27 odst. 2 správního řádu je třeba vymezit </w:t>
      </w:r>
      <w:r w:rsidR="00E05441">
        <w:rPr>
          <w:lang w:eastAsia="cs-CZ"/>
        </w:rPr>
        <w:t xml:space="preserve">i </w:t>
      </w:r>
      <w:r w:rsidRPr="00346EF0">
        <w:rPr>
          <w:lang w:eastAsia="cs-CZ"/>
        </w:rPr>
        <w:t>s ohledem na závěry Nejvyššího správního soudu uvedené v rozsudku ze dne 30. 7. 2013, sp. zn. 8 As 8/2011 v němž je uvedeno, že „</w:t>
      </w:r>
      <w:r w:rsidRPr="00346EF0">
        <w:rPr>
          <w:i/>
          <w:lang w:eastAsia="cs-CZ"/>
        </w:rPr>
        <w:t>rozhodnutím o</w:t>
      </w:r>
      <w:r w:rsidR="009E2617">
        <w:rPr>
          <w:i/>
          <w:lang w:eastAsia="cs-CZ"/>
        </w:rPr>
        <w:t> </w:t>
      </w:r>
      <w:r w:rsidRPr="00346EF0">
        <w:rPr>
          <w:i/>
          <w:lang w:eastAsia="cs-CZ"/>
        </w:rPr>
        <w:t xml:space="preserve">výjimce v převážné </w:t>
      </w:r>
      <w:r w:rsidRPr="00346EF0">
        <w:rPr>
          <w:i/>
        </w:rPr>
        <w:t>většině případů nedochází ke konečnému zásahu do práv účastníků.</w:t>
      </w:r>
      <w:r w:rsidRPr="00346EF0">
        <w:t>“ (…) „</w:t>
      </w:r>
      <w:r w:rsidRPr="00346EF0">
        <w:rPr>
          <w:i/>
        </w:rPr>
        <w:t>Teprve výsledek „hlavního řízení“, pro jehož účely žadatel o povolení výjimky usiluje, je způsobilý skutečného (kvalifikovaného) zkrácení práv účastníků řízení.</w:t>
      </w:r>
      <w:r w:rsidRPr="00346EF0">
        <w:t>“</w:t>
      </w:r>
    </w:p>
    <w:p w:rsidR="00BC4B4C" w:rsidRPr="00346EF0" w:rsidRDefault="007726E7" w:rsidP="00331F1B">
      <w:pPr>
        <w:spacing w:before="120"/>
        <w:rPr>
          <w:lang w:eastAsia="cs-CZ"/>
        </w:rPr>
      </w:pPr>
      <w:r w:rsidRPr="00346EF0">
        <w:rPr>
          <w:lang w:eastAsia="cs-CZ"/>
        </w:rPr>
        <w:t xml:space="preserve">Dotčené orgány stanoví stavební úřad podle § 136 správního řádu. Pro stanovení okruhu dotčených veřejných zájmů a tedy i dotčených orgánů lze vycházet z aktualizované internetové příručky Ústavu územního rozvoje „Dotčené orgány v procesu územního plánování“, dostupné online na adrese: </w:t>
      </w:r>
      <w:hyperlink r:id="rId17" w:history="1">
        <w:r w:rsidR="00E05441" w:rsidRPr="00B64A6A">
          <w:rPr>
            <w:rStyle w:val="Hypertextovodkaz"/>
          </w:rPr>
          <w:t>http://www.uur.cz/default.asp?ID=2588</w:t>
        </w:r>
      </w:hyperlink>
      <w:r w:rsidR="00E05441">
        <w:rPr>
          <w:rStyle w:val="Hypertextovodkaz"/>
        </w:rPr>
        <w:t>.</w:t>
      </w:r>
      <w:r w:rsidR="00A70F14">
        <w:rPr>
          <w:lang w:eastAsia="cs-CZ"/>
        </w:rPr>
        <w:t xml:space="preserve"> </w:t>
      </w:r>
      <w:r w:rsidRPr="00346EF0">
        <w:rPr>
          <w:lang w:eastAsia="cs-CZ"/>
        </w:rPr>
        <w:t xml:space="preserve"> </w:t>
      </w:r>
    </w:p>
    <w:p w:rsidR="00BC4B4C" w:rsidRPr="001F759A" w:rsidRDefault="00BC4B4C" w:rsidP="00BC4B4C">
      <w:pPr>
        <w:rPr>
          <w:lang w:eastAsia="cs-CZ"/>
        </w:rPr>
      </w:pPr>
    </w:p>
    <w:p w:rsidR="00BC4B4C" w:rsidRPr="00E05441" w:rsidRDefault="00BC4B4C" w:rsidP="00BC4B4C">
      <w:pPr>
        <w:rPr>
          <w:b/>
          <w:lang w:eastAsia="cs-CZ"/>
        </w:rPr>
      </w:pPr>
    </w:p>
    <w:p w:rsidR="00502232" w:rsidRPr="00E05441" w:rsidRDefault="007726E7" w:rsidP="00E05441">
      <w:pPr>
        <w:pStyle w:val="Odstavecseseznamem"/>
        <w:numPr>
          <w:ilvl w:val="1"/>
          <w:numId w:val="2"/>
        </w:numPr>
        <w:spacing w:after="0"/>
        <w:ind w:hanging="720"/>
        <w:rPr>
          <w:rFonts w:ascii="Arial" w:hAnsi="Arial" w:cs="Arial"/>
          <w:b/>
        </w:rPr>
      </w:pPr>
      <w:r w:rsidRPr="00E05441">
        <w:rPr>
          <w:rFonts w:ascii="Arial" w:hAnsi="Arial" w:cs="Arial"/>
          <w:b/>
          <w:lang w:eastAsia="cs-CZ"/>
        </w:rPr>
        <w:t>Průběh řízení</w:t>
      </w:r>
    </w:p>
    <w:p w:rsidR="00BC4B4C" w:rsidRPr="00346EF0" w:rsidRDefault="007726E7" w:rsidP="00BC4B4C">
      <w:pPr>
        <w:spacing w:after="120"/>
      </w:pPr>
      <w:r w:rsidRPr="00346EF0">
        <w:t>Stavební úřad přezkoumá úplnost žádosti podle § 45 správního řádu, tj. zda má předepsané náležitosti nebo netrpí jinými vadami</w:t>
      </w:r>
      <w:r w:rsidR="00FB7C66">
        <w:t>,</w:t>
      </w:r>
      <w:r w:rsidRPr="00346EF0">
        <w:t xml:space="preserve"> případně vyzve žadatele/stavebníka k odstranění nedostatků, k čemuž </w:t>
      </w:r>
      <w:r w:rsidR="00FB7C66">
        <w:t>mu</w:t>
      </w:r>
      <w:r w:rsidR="00FB7C66" w:rsidRPr="00346EF0">
        <w:t xml:space="preserve"> </w:t>
      </w:r>
      <w:r w:rsidR="00E05441">
        <w:t xml:space="preserve">stanoví </w:t>
      </w:r>
      <w:r w:rsidRPr="00346EF0">
        <w:t>přiměřenou lhůtu a poučí jej o</w:t>
      </w:r>
      <w:r w:rsidR="009E2617">
        <w:t> </w:t>
      </w:r>
      <w:r w:rsidRPr="00346EF0">
        <w:t>následcích neodstranění nedostatků</w:t>
      </w:r>
      <w:r w:rsidR="00E05441">
        <w:t xml:space="preserve"> a </w:t>
      </w:r>
      <w:r w:rsidRPr="00346EF0">
        <w:t xml:space="preserve">řízení současně s výzvou </w:t>
      </w:r>
      <w:r w:rsidR="00E05441">
        <w:t xml:space="preserve">k </w:t>
      </w:r>
      <w:r w:rsidRPr="00346EF0">
        <w:t xml:space="preserve">odstranění nedostatků přeruší na dobu nezbytně nutnou </w:t>
      </w:r>
      <w:r w:rsidR="00EA40B0">
        <w:t>[</w:t>
      </w:r>
      <w:r w:rsidRPr="00346EF0">
        <w:t>§ 64 odst. 1 písm. a) správního řádu</w:t>
      </w:r>
      <w:r w:rsidR="00EA40B0">
        <w:t>]</w:t>
      </w:r>
      <w:r w:rsidRPr="00346EF0">
        <w:t xml:space="preserve">. </w:t>
      </w:r>
    </w:p>
    <w:p w:rsidR="00BC4B4C" w:rsidRPr="00346EF0" w:rsidRDefault="007726E7" w:rsidP="00BC4B4C">
      <w:r w:rsidRPr="00346EF0">
        <w:t>Pokud žádost obsahuje požadované náležitosti, stavební úřad oznámí účastníkům řízení a dotčeným orgánům zahájení řízení o povolení výjimky. V případě potřeby nařídí ústní jednání, které může být spojeno s ohledáním na místě. Podle okolností stavební úřad přizve i příslušný dotčený orgán. Současně dá stavební úřad před vydáním rozhodnutí ve věci účastníkům řízení o výjimce možnost vyjádřit se k podkladům rozhodnutí ve smyslu § 36 odst. 3 správního řádu a stanoví přiměřenou lhůtu pro vyjádření, přičemž určením lhůty nesmí být ohrožen účel řízení ani porušena rovnost účastníků.</w:t>
      </w:r>
    </w:p>
    <w:p w:rsidR="00BC4B4C" w:rsidRDefault="00BC4B4C" w:rsidP="00BC4B4C"/>
    <w:p w:rsidR="00FC41C0" w:rsidRDefault="00FC41C0" w:rsidP="00BC4B4C"/>
    <w:p w:rsidR="002114A9" w:rsidRPr="00346EF0" w:rsidRDefault="002114A9" w:rsidP="00BC4B4C"/>
    <w:p w:rsidR="00BC4B4C" w:rsidRPr="002114A9" w:rsidRDefault="007726E7" w:rsidP="002114A9">
      <w:pPr>
        <w:pStyle w:val="Nadpis8"/>
        <w:numPr>
          <w:ilvl w:val="1"/>
          <w:numId w:val="2"/>
        </w:numPr>
        <w:spacing w:before="0" w:after="0"/>
        <w:ind w:hanging="720"/>
        <w:rPr>
          <w:rFonts w:ascii="Arial" w:hAnsi="Arial" w:cs="Arial"/>
          <w:b/>
          <w:i w:val="0"/>
          <w:sz w:val="22"/>
          <w:szCs w:val="22"/>
        </w:rPr>
      </w:pPr>
      <w:r w:rsidRPr="002114A9">
        <w:rPr>
          <w:rFonts w:ascii="Arial" w:hAnsi="Arial" w:cs="Arial"/>
          <w:b/>
          <w:i w:val="0"/>
          <w:sz w:val="22"/>
          <w:szCs w:val="22"/>
        </w:rPr>
        <w:lastRenderedPageBreak/>
        <w:t>Vyhodnocení podkladů pro vydání rozhodnutí</w:t>
      </w:r>
    </w:p>
    <w:p w:rsidR="00BC4B4C" w:rsidRPr="009531F0" w:rsidRDefault="007726E7" w:rsidP="002114A9">
      <w:r w:rsidRPr="009531F0">
        <w:t>Stavební úřad:</w:t>
      </w:r>
    </w:p>
    <w:p w:rsidR="00BC4B4C" w:rsidRPr="00A12CE1" w:rsidRDefault="009531F0" w:rsidP="00A01908">
      <w:pPr>
        <w:pStyle w:val="Odstavecseseznamem"/>
        <w:numPr>
          <w:ilvl w:val="0"/>
          <w:numId w:val="5"/>
        </w:numPr>
        <w:jc w:val="both"/>
        <w:rPr>
          <w:rFonts w:ascii="Arial" w:hAnsi="Arial" w:cs="Arial"/>
          <w:sz w:val="20"/>
          <w:szCs w:val="20"/>
        </w:rPr>
      </w:pPr>
      <w:r w:rsidRPr="00A12CE1">
        <w:rPr>
          <w:rFonts w:ascii="Arial" w:hAnsi="Arial" w:cs="Arial"/>
          <w:sz w:val="20"/>
          <w:szCs w:val="20"/>
        </w:rPr>
        <w:t xml:space="preserve">provede </w:t>
      </w:r>
      <w:r w:rsidR="007726E7" w:rsidRPr="00A12CE1">
        <w:rPr>
          <w:rFonts w:ascii="Arial" w:hAnsi="Arial" w:cs="Arial"/>
          <w:sz w:val="20"/>
          <w:szCs w:val="20"/>
        </w:rPr>
        <w:t>kontrolu správnosti údajů o žadateli a pozemku</w:t>
      </w:r>
      <w:r w:rsidRPr="00A12CE1">
        <w:rPr>
          <w:rFonts w:ascii="Arial" w:hAnsi="Arial" w:cs="Arial"/>
          <w:sz w:val="20"/>
          <w:szCs w:val="20"/>
        </w:rPr>
        <w:t>,</w:t>
      </w:r>
      <w:r w:rsidR="007726E7" w:rsidRPr="00A12CE1">
        <w:rPr>
          <w:rFonts w:ascii="Arial" w:hAnsi="Arial" w:cs="Arial"/>
          <w:sz w:val="20"/>
          <w:szCs w:val="20"/>
        </w:rPr>
        <w:t xml:space="preserve"> </w:t>
      </w:r>
    </w:p>
    <w:p w:rsidR="00BC4B4C" w:rsidRPr="00494302" w:rsidRDefault="009531F0" w:rsidP="00A01908">
      <w:pPr>
        <w:pStyle w:val="Odstavecseseznamem"/>
        <w:numPr>
          <w:ilvl w:val="0"/>
          <w:numId w:val="5"/>
        </w:numPr>
        <w:jc w:val="both"/>
        <w:rPr>
          <w:rFonts w:ascii="Arial" w:hAnsi="Arial" w:cs="Arial"/>
          <w:sz w:val="20"/>
          <w:szCs w:val="20"/>
        </w:rPr>
      </w:pPr>
      <w:r w:rsidRPr="00494302">
        <w:rPr>
          <w:rFonts w:ascii="Arial" w:hAnsi="Arial" w:cs="Arial"/>
          <w:sz w:val="20"/>
          <w:szCs w:val="20"/>
        </w:rPr>
        <w:t xml:space="preserve">provede </w:t>
      </w:r>
      <w:r w:rsidR="007726E7" w:rsidRPr="00494302">
        <w:rPr>
          <w:rFonts w:ascii="Arial" w:hAnsi="Arial" w:cs="Arial"/>
          <w:sz w:val="20"/>
          <w:szCs w:val="20"/>
        </w:rPr>
        <w:t>kontrolu věcného obsahu plné moci v případě zastupování</w:t>
      </w:r>
      <w:r w:rsidRPr="00494302">
        <w:rPr>
          <w:rFonts w:ascii="Arial" w:hAnsi="Arial" w:cs="Arial"/>
          <w:sz w:val="20"/>
          <w:szCs w:val="20"/>
        </w:rPr>
        <w:t>,</w:t>
      </w:r>
    </w:p>
    <w:p w:rsidR="00BC4B4C" w:rsidRPr="00494302" w:rsidRDefault="009531F0" w:rsidP="00A01908">
      <w:pPr>
        <w:pStyle w:val="Odstavecseseznamem"/>
        <w:numPr>
          <w:ilvl w:val="0"/>
          <w:numId w:val="5"/>
        </w:numPr>
        <w:jc w:val="both"/>
        <w:rPr>
          <w:rFonts w:ascii="Arial" w:hAnsi="Arial" w:cs="Arial"/>
          <w:sz w:val="20"/>
          <w:szCs w:val="20"/>
        </w:rPr>
      </w:pPr>
      <w:r w:rsidRPr="00494302">
        <w:rPr>
          <w:rFonts w:ascii="Arial" w:hAnsi="Arial" w:cs="Arial"/>
          <w:sz w:val="20"/>
          <w:szCs w:val="20"/>
        </w:rPr>
        <w:t xml:space="preserve">provede </w:t>
      </w:r>
      <w:r w:rsidR="007726E7" w:rsidRPr="00494302">
        <w:rPr>
          <w:rFonts w:ascii="Arial" w:hAnsi="Arial" w:cs="Arial"/>
          <w:sz w:val="20"/>
          <w:szCs w:val="20"/>
        </w:rPr>
        <w:t>kontrolu dostatečnosti obsahové stránky žádosti a dalších příloh žádosti (přesná specifikace požadované výjimky a záměru, pro který je požadována)</w:t>
      </w:r>
      <w:r w:rsidRPr="00494302">
        <w:rPr>
          <w:rFonts w:ascii="Arial" w:hAnsi="Arial" w:cs="Arial"/>
          <w:sz w:val="20"/>
          <w:szCs w:val="20"/>
        </w:rPr>
        <w:t>,</w:t>
      </w:r>
      <w:r w:rsidR="007726E7" w:rsidRPr="00494302">
        <w:rPr>
          <w:rFonts w:ascii="Arial" w:hAnsi="Arial" w:cs="Arial"/>
          <w:sz w:val="20"/>
          <w:szCs w:val="20"/>
        </w:rPr>
        <w:t xml:space="preserve"> </w:t>
      </w:r>
    </w:p>
    <w:p w:rsidR="00BC4B4C" w:rsidRPr="00494302" w:rsidRDefault="007726E7" w:rsidP="00A01908">
      <w:pPr>
        <w:pStyle w:val="Odstavecseseznamem"/>
        <w:numPr>
          <w:ilvl w:val="0"/>
          <w:numId w:val="5"/>
        </w:numPr>
        <w:jc w:val="both"/>
        <w:rPr>
          <w:rFonts w:ascii="Arial" w:hAnsi="Arial" w:cs="Arial"/>
          <w:sz w:val="20"/>
          <w:szCs w:val="20"/>
        </w:rPr>
      </w:pPr>
      <w:r w:rsidRPr="00494302">
        <w:rPr>
          <w:rFonts w:ascii="Arial" w:hAnsi="Arial" w:cs="Arial"/>
          <w:sz w:val="20"/>
          <w:szCs w:val="20"/>
        </w:rPr>
        <w:t>zjistí a vyhodnotí věcný obsah doložených stanovisek dotčených orgánů</w:t>
      </w:r>
      <w:r w:rsidR="009531F0" w:rsidRPr="00494302">
        <w:rPr>
          <w:rFonts w:ascii="Arial" w:hAnsi="Arial" w:cs="Arial"/>
          <w:sz w:val="20"/>
          <w:szCs w:val="20"/>
        </w:rPr>
        <w:t>,</w:t>
      </w:r>
    </w:p>
    <w:p w:rsidR="00BC4B4C" w:rsidRPr="00494302" w:rsidRDefault="007726E7" w:rsidP="00A01908">
      <w:pPr>
        <w:pStyle w:val="Odstavecseseznamem"/>
        <w:numPr>
          <w:ilvl w:val="0"/>
          <w:numId w:val="5"/>
        </w:numPr>
        <w:jc w:val="both"/>
        <w:rPr>
          <w:rFonts w:ascii="Arial" w:hAnsi="Arial" w:cs="Arial"/>
          <w:sz w:val="20"/>
          <w:szCs w:val="20"/>
        </w:rPr>
      </w:pPr>
      <w:r w:rsidRPr="00494302">
        <w:rPr>
          <w:rFonts w:ascii="Arial" w:hAnsi="Arial" w:cs="Arial"/>
          <w:sz w:val="20"/>
          <w:szCs w:val="20"/>
        </w:rPr>
        <w:t xml:space="preserve">zjistí míru dotčení práv a oprávněných zájmů osob odlišných od žadatele (vlastníci sousedních </w:t>
      </w:r>
      <w:r w:rsidR="002114A9">
        <w:rPr>
          <w:rFonts w:ascii="Arial" w:hAnsi="Arial" w:cs="Arial"/>
          <w:sz w:val="20"/>
          <w:szCs w:val="20"/>
        </w:rPr>
        <w:t xml:space="preserve">pozemků a staveb na nich, </w:t>
      </w:r>
      <w:r w:rsidRPr="00494302">
        <w:rPr>
          <w:rFonts w:ascii="Arial" w:hAnsi="Arial" w:cs="Arial"/>
          <w:sz w:val="20"/>
          <w:szCs w:val="20"/>
        </w:rPr>
        <w:t>apod.)</w:t>
      </w:r>
      <w:r w:rsidR="009531F0" w:rsidRPr="00494302">
        <w:rPr>
          <w:rFonts w:ascii="Arial" w:hAnsi="Arial" w:cs="Arial"/>
          <w:sz w:val="20"/>
          <w:szCs w:val="20"/>
        </w:rPr>
        <w:t>,</w:t>
      </w:r>
    </w:p>
    <w:p w:rsidR="00CE27D4" w:rsidRPr="006664B9" w:rsidRDefault="0093532B" w:rsidP="006664B9">
      <w:pPr>
        <w:pStyle w:val="Odstavecseseznamem"/>
        <w:numPr>
          <w:ilvl w:val="0"/>
          <w:numId w:val="5"/>
        </w:numPr>
        <w:jc w:val="both"/>
        <w:rPr>
          <w:rFonts w:ascii="Arial" w:hAnsi="Arial" w:cs="Arial"/>
          <w:sz w:val="20"/>
          <w:szCs w:val="20"/>
        </w:rPr>
      </w:pPr>
      <w:r w:rsidRPr="00494302">
        <w:rPr>
          <w:rFonts w:ascii="Arial" w:hAnsi="Arial" w:cs="Arial"/>
          <w:sz w:val="20"/>
          <w:szCs w:val="20"/>
        </w:rPr>
        <w:t xml:space="preserve">provede </w:t>
      </w:r>
      <w:r w:rsidR="007726E7" w:rsidRPr="00494302">
        <w:rPr>
          <w:rFonts w:ascii="Arial" w:hAnsi="Arial" w:cs="Arial"/>
          <w:sz w:val="20"/>
          <w:szCs w:val="20"/>
        </w:rPr>
        <w:t>předběžnou kontrolu souladu záměru, pro nějž je požadována výjimka, s územně plánovací dokumentací (možnost umístění daného druhu stavby na požadovaném pozemku, ap</w:t>
      </w:r>
      <w:r w:rsidR="00962199">
        <w:rPr>
          <w:rFonts w:ascii="Arial" w:hAnsi="Arial" w:cs="Arial"/>
          <w:sz w:val="20"/>
          <w:szCs w:val="20"/>
        </w:rPr>
        <w:t>od.</w:t>
      </w:r>
      <w:r w:rsidR="007726E7" w:rsidRPr="00494302">
        <w:rPr>
          <w:rFonts w:ascii="Arial" w:hAnsi="Arial" w:cs="Arial"/>
          <w:sz w:val="20"/>
          <w:szCs w:val="20"/>
        </w:rPr>
        <w:t>)</w:t>
      </w:r>
      <w:r w:rsidR="002114A9">
        <w:rPr>
          <w:rFonts w:ascii="Arial" w:hAnsi="Arial" w:cs="Arial"/>
          <w:sz w:val="20"/>
          <w:szCs w:val="20"/>
        </w:rPr>
        <w:t>,</w:t>
      </w:r>
    </w:p>
    <w:p w:rsidR="00CE27D4" w:rsidRPr="002114A9" w:rsidRDefault="009531F0" w:rsidP="002114A9">
      <w:pPr>
        <w:pStyle w:val="Odstavecseseznamem"/>
        <w:numPr>
          <w:ilvl w:val="0"/>
          <w:numId w:val="5"/>
        </w:numPr>
        <w:spacing w:after="0"/>
        <w:ind w:left="714" w:hanging="357"/>
        <w:jc w:val="both"/>
      </w:pPr>
      <w:r w:rsidRPr="00494302">
        <w:rPr>
          <w:rFonts w:ascii="Arial" w:hAnsi="Arial" w:cs="Arial"/>
          <w:sz w:val="20"/>
          <w:szCs w:val="20"/>
        </w:rPr>
        <w:t>p</w:t>
      </w:r>
      <w:r w:rsidR="00760F4D" w:rsidRPr="00494302">
        <w:rPr>
          <w:rFonts w:ascii="Arial" w:hAnsi="Arial" w:cs="Arial"/>
          <w:sz w:val="20"/>
          <w:szCs w:val="20"/>
        </w:rPr>
        <w:t>osoud</w:t>
      </w:r>
      <w:r w:rsidRPr="00494302">
        <w:rPr>
          <w:rFonts w:ascii="Arial" w:hAnsi="Arial" w:cs="Arial"/>
          <w:sz w:val="20"/>
          <w:szCs w:val="20"/>
        </w:rPr>
        <w:t>í</w:t>
      </w:r>
      <w:r w:rsidR="0093532B">
        <w:rPr>
          <w:rFonts w:ascii="Arial" w:hAnsi="Arial" w:cs="Arial"/>
          <w:sz w:val="20"/>
          <w:szCs w:val="20"/>
        </w:rPr>
        <w:t xml:space="preserve"> odůvodnění žádosti a ověří</w:t>
      </w:r>
      <w:r w:rsidR="00760F4D" w:rsidRPr="00494302">
        <w:rPr>
          <w:rFonts w:ascii="Arial" w:hAnsi="Arial" w:cs="Arial"/>
          <w:sz w:val="20"/>
          <w:szCs w:val="20"/>
        </w:rPr>
        <w:t>, zda udělením výjimky nebude ohrožena bezpečnost, ochrana zdraví a života osob a sousední pozemky nebo stavby</w:t>
      </w:r>
      <w:r w:rsidRPr="00494302">
        <w:rPr>
          <w:rFonts w:ascii="Arial" w:hAnsi="Arial" w:cs="Arial"/>
          <w:sz w:val="20"/>
          <w:szCs w:val="20"/>
        </w:rPr>
        <w:t>,</w:t>
      </w:r>
    </w:p>
    <w:p w:rsidR="00760F4D" w:rsidRPr="00CA702C" w:rsidRDefault="00F010CB" w:rsidP="002114A9">
      <w:pPr>
        <w:pStyle w:val="Odstavecseseznamem"/>
        <w:numPr>
          <w:ilvl w:val="0"/>
          <w:numId w:val="5"/>
        </w:numPr>
        <w:rPr>
          <w:rFonts w:ascii="Arial" w:hAnsi="Arial" w:cs="Arial"/>
          <w:sz w:val="20"/>
          <w:szCs w:val="20"/>
        </w:rPr>
      </w:pPr>
      <w:r w:rsidRPr="00CA702C">
        <w:rPr>
          <w:rFonts w:ascii="Arial" w:hAnsi="Arial" w:cs="Arial"/>
          <w:sz w:val="20"/>
          <w:szCs w:val="20"/>
        </w:rPr>
        <w:t>posoudí, zda řešením podle povolené výjimky bude dosaženo účelu sledovaného obecnými požadavky na výstavbu.</w:t>
      </w:r>
    </w:p>
    <w:p w:rsidR="002114A9" w:rsidRDefault="002114A9" w:rsidP="002114A9">
      <w:pPr>
        <w:pStyle w:val="Odstavecseseznamem"/>
        <w:spacing w:after="120"/>
      </w:pPr>
    </w:p>
    <w:p w:rsidR="00BC4B4C" w:rsidRPr="002114A9" w:rsidRDefault="007726E7" w:rsidP="002114A9">
      <w:pPr>
        <w:pStyle w:val="Nadpis8"/>
        <w:numPr>
          <w:ilvl w:val="1"/>
          <w:numId w:val="2"/>
        </w:numPr>
        <w:spacing w:before="0" w:after="0"/>
        <w:ind w:hanging="720"/>
        <w:rPr>
          <w:rFonts w:ascii="Arial" w:hAnsi="Arial" w:cs="Arial"/>
          <w:b/>
          <w:i w:val="0"/>
          <w:sz w:val="22"/>
          <w:szCs w:val="22"/>
        </w:rPr>
      </w:pPr>
      <w:r w:rsidRPr="002114A9">
        <w:rPr>
          <w:rFonts w:ascii="Arial" w:hAnsi="Arial" w:cs="Arial"/>
          <w:b/>
          <w:i w:val="0"/>
          <w:sz w:val="22"/>
          <w:szCs w:val="22"/>
        </w:rPr>
        <w:t>Příprava rozhodnutí stavebního úřadu a formulace jeho obsahu</w:t>
      </w:r>
    </w:p>
    <w:p w:rsidR="00BC4B4C" w:rsidRPr="00346EF0" w:rsidRDefault="007726E7" w:rsidP="00BC4B4C">
      <w:pPr>
        <w:spacing w:after="120"/>
      </w:pPr>
      <w:r w:rsidRPr="00346EF0">
        <w:t>Stavební úřad buď požadovanou výjimku povolí, nebo žádost o výjimku zamítne. Rozhodnutí musí mít náležitosti podle § 68 a § 69 správního řádu, tedy část výrokovou, část odůvodnění a část poučení účastníků</w:t>
      </w:r>
      <w:r w:rsidR="00371763">
        <w:t>.</w:t>
      </w:r>
      <w:r w:rsidRPr="00346EF0">
        <w:t xml:space="preserve"> </w:t>
      </w:r>
      <w:r w:rsidR="00371763">
        <w:t>Výrok</w:t>
      </w:r>
      <w:r w:rsidRPr="00346EF0">
        <w:t xml:space="preserve"> musí obsahovat uvedení konkrétního ustanovení vyhlášky, ze kterého se výjimka povoluje a způsob technického řešení, které bylo odchylně povoleno. V odůvodnění rozhodnutí musí být uvedeny důvody povoleného řešení s</w:t>
      </w:r>
      <w:r w:rsidR="00371763">
        <w:t> </w:t>
      </w:r>
      <w:r w:rsidR="001635AB">
        <w:t>popisem</w:t>
      </w:r>
      <w:r w:rsidR="00371763">
        <w:t>,</w:t>
      </w:r>
      <w:r w:rsidRPr="00346EF0">
        <w:t xml:space="preserve"> jakým způsobem je </w:t>
      </w:r>
      <w:r w:rsidR="00371763" w:rsidRPr="00346EF0">
        <w:t>dosa</w:t>
      </w:r>
      <w:r w:rsidR="00371763">
        <w:t>že</w:t>
      </w:r>
      <w:r w:rsidR="00371763" w:rsidRPr="00346EF0">
        <w:t xml:space="preserve">no </w:t>
      </w:r>
      <w:r w:rsidRPr="00346EF0">
        <w:t>účelu sledovaného obecnými požadavky na výstavbu. Proti rozhodnutí se lze odvolat, o čemž stavební úřad účastníky poučí.</w:t>
      </w:r>
    </w:p>
    <w:p w:rsidR="00BC4B4C" w:rsidRPr="00346EF0" w:rsidRDefault="007726E7" w:rsidP="00BC4B4C">
      <w:pPr>
        <w:spacing w:after="120"/>
      </w:pPr>
      <w:r w:rsidRPr="00346EF0">
        <w:t>Řízení o výjimce z obecných požadavků na výstavbu je samostatné správní řízení, byť je velmi často spojováno s příslušným řízením ve věci. Důležité je, aby bylo důsledně odlišováno řízení o výjimce od</w:t>
      </w:r>
      <w:r w:rsidR="002114A9">
        <w:t> </w:t>
      </w:r>
      <w:r w:rsidRPr="00346EF0">
        <w:t>řízení ve věci (umístění</w:t>
      </w:r>
      <w:r w:rsidR="001635AB">
        <w:t>/povolení</w:t>
      </w:r>
      <w:r w:rsidRPr="00346EF0">
        <w:t xml:space="preserve"> záměru), a to jak při stanovení okruhu účastníků řízení, tak při</w:t>
      </w:r>
      <w:r w:rsidR="002114A9">
        <w:t> </w:t>
      </w:r>
      <w:r w:rsidRPr="00346EF0">
        <w:t xml:space="preserve">vyhodnocování námitek účastníků. Často jsou v řízení o výjimce uplatňovány a </w:t>
      </w:r>
      <w:r w:rsidR="001635AB">
        <w:t>zohledňovány</w:t>
      </w:r>
      <w:r w:rsidRPr="00346EF0">
        <w:t xml:space="preserve"> námitky, které svou povahou náleží (a mohou být řešeny) až do řízení ve věci. </w:t>
      </w:r>
    </w:p>
    <w:p w:rsidR="009531F0" w:rsidRPr="00346EF0" w:rsidRDefault="007726E7" w:rsidP="00BC4B4C">
      <w:r w:rsidRPr="00346EF0">
        <w:t>Zvýšené nároky jsou kladeny na odůvodnění rozhodnutí o výjimce, ve kterém musí být prokázáno splnění zákonných podmínek podle § 169 odst. 2 a § 169 odst. 6 stavebního zákona. Důvodem pro</w:t>
      </w:r>
      <w:r w:rsidR="002114A9">
        <w:t> </w:t>
      </w:r>
      <w:r w:rsidRPr="00346EF0">
        <w:t>povolení výjimky nemohou být pouze ekonomické důvody.</w:t>
      </w:r>
      <w:r w:rsidR="009531F0">
        <w:t xml:space="preserve"> </w:t>
      </w:r>
    </w:p>
    <w:p w:rsidR="00BC4B4C" w:rsidRPr="00346EF0" w:rsidRDefault="007726E7" w:rsidP="00BC4B4C">
      <w:r w:rsidRPr="00346EF0">
        <w:t>Rozhodnutí o povolení výjimky je správním aktem se všemi náležitostmi správního rozhodnutí. Výjimku z obecných požadavků na výstavbu je možné udělit tehdy, bude-li stavba splňovat další kritéria stanovená právními předpisy, zejm</w:t>
      </w:r>
      <w:r w:rsidR="002114A9">
        <w:t>éna</w:t>
      </w:r>
      <w:r w:rsidRPr="00346EF0">
        <w:t xml:space="preserve"> bude-li řešením podle povolené výjimky dosaženo účelu sledovaného obecnými požadavky na výstavbu. Výjimka povolená stavebním úřadem nesmí popřít samotnou podstatu a smysl ustanovení, z něhož byla udělena a musí být z toho důvodu řádně odůvodněna (rozsudek Nejvyššího správního soudu č. j. 1 As 69/2011 – 176 ze dne 14. 7. 2011). </w:t>
      </w:r>
    </w:p>
    <w:p w:rsidR="00CE27D4" w:rsidRDefault="00371763" w:rsidP="002114A9">
      <w:pPr>
        <w:spacing w:before="120"/>
      </w:pPr>
      <w:r>
        <w:t>Ustanovení</w:t>
      </w:r>
      <w:r w:rsidRPr="00346EF0">
        <w:t xml:space="preserve"> </w:t>
      </w:r>
      <w:r w:rsidR="007726E7" w:rsidRPr="00346EF0">
        <w:t xml:space="preserve">§ 169 odst. 2 stavebního zákona </w:t>
      </w:r>
      <w:r>
        <w:t>stanoví</w:t>
      </w:r>
      <w:r w:rsidRPr="00346EF0">
        <w:t xml:space="preserve"> </w:t>
      </w:r>
      <w:r w:rsidR="007726E7" w:rsidRPr="00346EF0">
        <w:t>podmínky</w:t>
      </w:r>
      <w:r w:rsidR="001635AB">
        <w:t xml:space="preserve"> pro</w:t>
      </w:r>
      <w:r w:rsidR="007726E7" w:rsidRPr="00346EF0">
        <w:t xml:space="preserve"> povolení výjimky. Těmito podmínkami jsou:</w:t>
      </w:r>
    </w:p>
    <w:p w:rsidR="00CE27D4" w:rsidRDefault="007726E7" w:rsidP="006664B9">
      <w:pPr>
        <w:pStyle w:val="Odstavecseseznamem"/>
        <w:numPr>
          <w:ilvl w:val="0"/>
          <w:numId w:val="8"/>
        </w:numPr>
        <w:spacing w:after="120"/>
        <w:jc w:val="both"/>
        <w:rPr>
          <w:rFonts w:ascii="Arial" w:hAnsi="Arial" w:cs="Arial"/>
          <w:sz w:val="20"/>
          <w:szCs w:val="20"/>
        </w:rPr>
      </w:pPr>
      <w:r w:rsidRPr="00346EF0">
        <w:rPr>
          <w:rFonts w:ascii="Arial" w:hAnsi="Arial" w:cs="Arial"/>
          <w:sz w:val="20"/>
          <w:szCs w:val="20"/>
        </w:rPr>
        <w:t>povolením výjimky nesmí dojít k ohrožení bezpečnosti, ochrany zdraví a života osob a</w:t>
      </w:r>
      <w:r w:rsidR="009E2617">
        <w:rPr>
          <w:rFonts w:ascii="Arial" w:hAnsi="Arial" w:cs="Arial"/>
          <w:sz w:val="20"/>
          <w:szCs w:val="20"/>
        </w:rPr>
        <w:t> </w:t>
      </w:r>
      <w:r w:rsidRPr="00346EF0">
        <w:rPr>
          <w:rFonts w:ascii="Arial" w:hAnsi="Arial" w:cs="Arial"/>
          <w:sz w:val="20"/>
          <w:szCs w:val="20"/>
        </w:rPr>
        <w:t xml:space="preserve">sousedních pozemků nebo staveb a </w:t>
      </w:r>
    </w:p>
    <w:p w:rsidR="00CE27D4" w:rsidRDefault="007726E7" w:rsidP="006664B9">
      <w:pPr>
        <w:pStyle w:val="Odstavecseseznamem"/>
        <w:numPr>
          <w:ilvl w:val="0"/>
          <w:numId w:val="8"/>
        </w:numPr>
        <w:spacing w:after="120"/>
        <w:jc w:val="both"/>
        <w:rPr>
          <w:rFonts w:ascii="Arial" w:hAnsi="Arial" w:cs="Arial"/>
          <w:sz w:val="20"/>
          <w:szCs w:val="20"/>
        </w:rPr>
      </w:pPr>
      <w:r w:rsidRPr="00346EF0">
        <w:rPr>
          <w:rFonts w:ascii="Arial" w:hAnsi="Arial" w:cs="Arial"/>
          <w:sz w:val="20"/>
          <w:szCs w:val="20"/>
        </w:rPr>
        <w:t>řešením podle povolené výjimky musí být dosaženo účelu sledovaného obecnými požadavky na výstavbu.</w:t>
      </w:r>
    </w:p>
    <w:p w:rsidR="00BC4B4C" w:rsidRDefault="00371763" w:rsidP="00BC4B4C">
      <w:pPr>
        <w:spacing w:after="120"/>
      </w:pPr>
      <w:r>
        <w:t>Splnění podmínek</w:t>
      </w:r>
      <w:r w:rsidRPr="00346EF0">
        <w:t xml:space="preserve"> § 169 odst. 2 stavebního zákona</w:t>
      </w:r>
      <w:r w:rsidR="002927DF">
        <w:t xml:space="preserve"> hodnotí</w:t>
      </w:r>
      <w:r w:rsidRPr="00346EF0">
        <w:t xml:space="preserve"> </w:t>
      </w:r>
      <w:r w:rsidR="007726E7" w:rsidRPr="00346EF0">
        <w:t>stavební úřad</w:t>
      </w:r>
      <w:r w:rsidR="00494302">
        <w:t>, který musí</w:t>
      </w:r>
      <w:r w:rsidR="00FD1C1D">
        <w:t>,</w:t>
      </w:r>
      <w:r w:rsidR="00494302">
        <w:t xml:space="preserve"> i ve vztahu k těmto mezím udělení výjimky</w:t>
      </w:r>
      <w:r w:rsidR="00FD1C1D">
        <w:t>,</w:t>
      </w:r>
      <w:r w:rsidR="00494302">
        <w:t xml:space="preserve"> vycházet ze skutečně zjištěného stavu věci</w:t>
      </w:r>
      <w:r w:rsidR="007726E7" w:rsidRPr="00346EF0">
        <w:t xml:space="preserve">. </w:t>
      </w:r>
    </w:p>
    <w:p w:rsidR="00FD1C1D" w:rsidRDefault="00FD1C1D" w:rsidP="00BC4B4C">
      <w:pPr>
        <w:spacing w:after="120"/>
      </w:pPr>
    </w:p>
    <w:p w:rsidR="00FD1C1D" w:rsidRPr="00346EF0" w:rsidRDefault="00FD1C1D" w:rsidP="00BC4B4C">
      <w:pPr>
        <w:spacing w:after="120"/>
      </w:pPr>
    </w:p>
    <w:p w:rsidR="00BC4B4C" w:rsidRPr="00346EF0" w:rsidRDefault="007726E7" w:rsidP="00BC4B4C">
      <w:pPr>
        <w:spacing w:after="120"/>
      </w:pPr>
      <w:r w:rsidRPr="00346EF0">
        <w:lastRenderedPageBreak/>
        <w:t xml:space="preserve">Účel sledovaný obecnými požadavky na výstavbu je ve vztahu ke každému ustanovení odlišný a je třeba ho zkoumat vždy individuálně ve vztahu k dotčeným veřejným zájmům (například menší zatížení životního prostředí). Pokud udělením výjimky bude </w:t>
      </w:r>
      <w:r w:rsidR="00CE6EFF">
        <w:t xml:space="preserve">navrhovaným řešením </w:t>
      </w:r>
      <w:r w:rsidRPr="00346EF0">
        <w:t>účel sledovaný obecnými požadavky na výstavbu splněn ve vyšší intenzitě, než je tomu u obecného požadavku na výstavbu zakotveného v právním předpise, zamítnutí žádosti o výjimku by mohlo mít povahu překročení nebo zneužití správního uvážení.</w:t>
      </w:r>
    </w:p>
    <w:p w:rsidR="00494302" w:rsidRDefault="00494302" w:rsidP="00494302">
      <w:r>
        <w:t xml:space="preserve">Při rozhodování o povolení výjimky je třeba důrazně respektovat zákonné meze pro udělení výjimky, neboť se jedná o řízení o výjimce z obecně platného pravidla. </w:t>
      </w:r>
    </w:p>
    <w:p w:rsidR="00FD1C1D" w:rsidRDefault="00FD1C1D" w:rsidP="00FD1C1D">
      <w:pPr>
        <w:spacing w:before="0"/>
        <w:rPr>
          <w:b/>
        </w:rPr>
      </w:pPr>
    </w:p>
    <w:p w:rsidR="00FD1C1D" w:rsidRDefault="00FD1C1D" w:rsidP="00FD1C1D">
      <w:pPr>
        <w:spacing w:before="0"/>
        <w:rPr>
          <w:b/>
        </w:rPr>
      </w:pPr>
    </w:p>
    <w:p w:rsidR="00BC4B4C" w:rsidRPr="00CA702C" w:rsidRDefault="007726E7" w:rsidP="00CA702C">
      <w:pPr>
        <w:pStyle w:val="Odstavecseseznamem"/>
        <w:numPr>
          <w:ilvl w:val="1"/>
          <w:numId w:val="2"/>
        </w:numPr>
        <w:spacing w:after="120"/>
        <w:ind w:left="426"/>
        <w:rPr>
          <w:b/>
        </w:rPr>
      </w:pPr>
      <w:r w:rsidRPr="00CA702C">
        <w:rPr>
          <w:rFonts w:ascii="Arial" w:hAnsi="Arial" w:cs="Arial"/>
          <w:b/>
        </w:rPr>
        <w:t>Rozhodnutí a opravné prostředky</w:t>
      </w:r>
    </w:p>
    <w:p w:rsidR="00BC4B4C" w:rsidRPr="00346EF0" w:rsidRDefault="007726E7" w:rsidP="003F321A">
      <w:pPr>
        <w:spacing w:after="120"/>
        <w:rPr>
          <w:lang w:eastAsia="cs-CZ"/>
        </w:rPr>
      </w:pPr>
      <w:r w:rsidRPr="00346EF0">
        <w:rPr>
          <w:lang w:eastAsia="cs-CZ"/>
        </w:rPr>
        <w:t>Stavební úřad může vydat samostatné rozhodnutí ve smyslu § 169 odst. 5 stavebního zákona. Pokud žadatel podal společně s žádostí též návrh na vydání územního rozhodnutí nebo návrh na vydání stavební</w:t>
      </w:r>
      <w:r w:rsidR="001F1FEF">
        <w:rPr>
          <w:lang w:eastAsia="cs-CZ"/>
        </w:rPr>
        <w:t>ho</w:t>
      </w:r>
      <w:r w:rsidRPr="00346EF0">
        <w:rPr>
          <w:lang w:eastAsia="cs-CZ"/>
        </w:rPr>
        <w:t xml:space="preserve"> povolení, stavební úřad může podle § 140 odst. 7 správního řádu rozhodnout </w:t>
      </w:r>
      <w:r w:rsidR="001F1FEF">
        <w:rPr>
          <w:lang w:eastAsia="cs-CZ"/>
        </w:rPr>
        <w:t>ve společném řízení a vydat společné rozhodnutí.</w:t>
      </w:r>
    </w:p>
    <w:p w:rsidR="002522E2" w:rsidRDefault="007726E7" w:rsidP="002522E2">
      <w:pPr>
        <w:rPr>
          <w:lang w:eastAsia="cs-CZ"/>
        </w:rPr>
      </w:pPr>
      <w:r w:rsidRPr="00346EF0">
        <w:rPr>
          <w:lang w:eastAsia="cs-CZ"/>
        </w:rPr>
        <w:t>Proti rozhodnutí o výjimce se účastník může odvolat. Bez pravomocného povolení výjimky, je-li řízení o výjimce vedeno samostatně,</w:t>
      </w:r>
      <w:r w:rsidR="00962199">
        <w:rPr>
          <w:lang w:eastAsia="cs-CZ"/>
        </w:rPr>
        <w:t xml:space="preserve"> </w:t>
      </w:r>
      <w:r w:rsidR="002522E2" w:rsidRPr="009D2F0B">
        <w:rPr>
          <w:lang w:eastAsia="cs-CZ"/>
        </w:rPr>
        <w:t>nelze v hlavním řízení vydat rozhodnutí, kterým bude žádosti vyhověno; stavební úřad může vydat rozhodnutí, kterým se hlavní řízení z důvodu nedoložení rozhodnutí o povolení vý</w:t>
      </w:r>
      <w:r w:rsidR="002522E2">
        <w:rPr>
          <w:lang w:eastAsia="cs-CZ"/>
        </w:rPr>
        <w:t>jimky přerušuje nebo zastavuje.</w:t>
      </w:r>
    </w:p>
    <w:p w:rsidR="00331F1B" w:rsidRDefault="00331F1B" w:rsidP="00FD1C1D">
      <w:pPr>
        <w:spacing w:after="120"/>
        <w:rPr>
          <w:lang w:eastAsia="cs-CZ"/>
        </w:rPr>
      </w:pPr>
    </w:p>
    <w:p w:rsidR="00FC41C0" w:rsidRPr="00CA702C" w:rsidRDefault="007726E7" w:rsidP="00CA702C">
      <w:pPr>
        <w:pStyle w:val="Odstavecseseznamem"/>
        <w:numPr>
          <w:ilvl w:val="1"/>
          <w:numId w:val="2"/>
        </w:numPr>
        <w:tabs>
          <w:tab w:val="left" w:pos="567"/>
        </w:tabs>
        <w:ind w:left="426"/>
        <w:rPr>
          <w:b/>
        </w:rPr>
      </w:pPr>
      <w:r w:rsidRPr="00CA702C">
        <w:rPr>
          <w:rFonts w:ascii="Arial" w:hAnsi="Arial" w:cs="Arial"/>
          <w:b/>
        </w:rPr>
        <w:t xml:space="preserve">Doručování rozhodnutí </w:t>
      </w:r>
    </w:p>
    <w:p w:rsidR="00BC4B4C" w:rsidRPr="00346EF0" w:rsidRDefault="007726E7">
      <w:pPr>
        <w:tabs>
          <w:tab w:val="left" w:pos="567"/>
        </w:tabs>
      </w:pPr>
      <w:r w:rsidRPr="00346EF0">
        <w:t xml:space="preserve">Doručování písemností se řídí obecnou úpravou správního řádu. Stavební úřad, který vydal rozhodnutí o povolení výjimky, doručí písemnost prostřednictvím veřejné datové sítě do datové schránky (§ 19 odst. 1 správního řádu). </w:t>
      </w:r>
      <w:r w:rsidR="00F71555" w:rsidRPr="00F71555">
        <w:t>Způsob doručování písemnosti je upraven hierarchicky tak, že za základní preferovaný způsob je považováno doručování prostřednictvím veřejné datové sítě do datové schránky</w:t>
      </w:r>
      <w:r w:rsidR="00F71555">
        <w:t>. Přednost před doručováním datovou schránkou má doručování veřejnou vyhláško</w:t>
      </w:r>
      <w:r w:rsidR="001F1FEF">
        <w:t>u</w:t>
      </w:r>
      <w:r w:rsidR="00F71555">
        <w:t xml:space="preserve">, pokud to zákon stanoví a doručování na místě. </w:t>
      </w:r>
      <w:r w:rsidRPr="00346EF0">
        <w:t>V případech, kdy doručení do datové schránky není možné, lze písemnost doručit prostřednictvím provozovatele poštovních služeb.</w:t>
      </w:r>
      <w:r w:rsidR="00F71555">
        <w:t xml:space="preserve"> </w:t>
      </w:r>
      <w:r w:rsidRPr="00346EF0">
        <w:t>Fyzickým osobám se doručuje na adresu uvedeno</w:t>
      </w:r>
      <w:r w:rsidR="00A2156D">
        <w:t>u</w:t>
      </w:r>
      <w:r w:rsidRPr="00346EF0">
        <w:t xml:space="preserve"> v informačním systému evidence obyvatel, na adresu trvalého pobytu nebo místa podnikání případně na elektronickou adresu (§ 20 správního řádu). Právnickým osobám se primárně doručuje na adresu pro doručování, nebo adresu sídla nebo sídla organizační </w:t>
      </w:r>
      <w:r w:rsidR="00A833F3">
        <w:t>složky</w:t>
      </w:r>
      <w:r w:rsidRPr="00346EF0">
        <w:t>, jíž se řízení týká (§ 21 správního řádu). V případě, že doručení není možné, písemnost se uloží a sice buď u správního orgánu, který ji vyhotovil, nebo u obecního úřadu nebo v provozovně provozovatele poštovních služeb, pokud se doručuje jejich prostřednictvím. Osobám neznámého pobytu nebo sídla a</w:t>
      </w:r>
      <w:r w:rsidR="009E2617">
        <w:t> </w:t>
      </w:r>
      <w:r w:rsidRPr="00346EF0">
        <w:t>osobám, jimž se prokazatelně nedaří doručovat, jakož i osobám, které nejsou známy, a v dalších případech, které stanoví zákon, se doručuje veřejnou vyhláškou.</w:t>
      </w:r>
    </w:p>
    <w:p w:rsidR="00BC4B4C" w:rsidRPr="003F321A" w:rsidRDefault="00BC4B4C" w:rsidP="00BC4B4C">
      <w:pPr>
        <w:tabs>
          <w:tab w:val="left" w:pos="567"/>
        </w:tabs>
        <w:rPr>
          <w:sz w:val="24"/>
          <w:szCs w:val="24"/>
        </w:rPr>
      </w:pPr>
    </w:p>
    <w:p w:rsidR="00BC4B4C" w:rsidRPr="003F321A" w:rsidRDefault="00BC4B4C" w:rsidP="00BC4B4C">
      <w:pPr>
        <w:tabs>
          <w:tab w:val="left" w:pos="567"/>
        </w:tabs>
        <w:rPr>
          <w:sz w:val="24"/>
          <w:szCs w:val="24"/>
        </w:rPr>
      </w:pPr>
    </w:p>
    <w:p w:rsidR="00BC4B4C" w:rsidRPr="00CB3115" w:rsidRDefault="007726E7" w:rsidP="003F321A">
      <w:pPr>
        <w:pStyle w:val="Odstavecseseznamem"/>
        <w:numPr>
          <w:ilvl w:val="0"/>
          <w:numId w:val="2"/>
        </w:numPr>
        <w:spacing w:after="120" w:line="240" w:lineRule="auto"/>
        <w:jc w:val="both"/>
        <w:rPr>
          <w:rFonts w:ascii="Arial" w:hAnsi="Arial" w:cs="Arial"/>
          <w:sz w:val="24"/>
          <w:szCs w:val="24"/>
          <w:lang w:eastAsia="cs-CZ"/>
        </w:rPr>
      </w:pPr>
      <w:r w:rsidRPr="00CB3115">
        <w:rPr>
          <w:rFonts w:ascii="Arial" w:hAnsi="Arial" w:cs="Arial"/>
          <w:b/>
          <w:sz w:val="24"/>
          <w:szCs w:val="24"/>
          <w:lang w:eastAsia="cs-CZ"/>
        </w:rPr>
        <w:t>Specifika řízení o povolení výjimky z § 24 odst. 1 vyhl</w:t>
      </w:r>
      <w:r w:rsidR="00F41844">
        <w:rPr>
          <w:rFonts w:ascii="Arial" w:hAnsi="Arial" w:cs="Arial"/>
          <w:b/>
          <w:sz w:val="24"/>
          <w:szCs w:val="24"/>
          <w:lang w:eastAsia="cs-CZ"/>
        </w:rPr>
        <w:t>ášky č.</w:t>
      </w:r>
      <w:r w:rsidR="000F56D1">
        <w:rPr>
          <w:rFonts w:ascii="Arial" w:hAnsi="Arial" w:cs="Arial"/>
          <w:b/>
          <w:sz w:val="24"/>
          <w:szCs w:val="24"/>
          <w:lang w:eastAsia="cs-CZ"/>
        </w:rPr>
        <w:t> </w:t>
      </w:r>
      <w:r w:rsidR="00F41844">
        <w:rPr>
          <w:rFonts w:ascii="Arial" w:hAnsi="Arial" w:cs="Arial"/>
          <w:b/>
          <w:sz w:val="24"/>
          <w:szCs w:val="24"/>
          <w:lang w:eastAsia="cs-CZ"/>
        </w:rPr>
        <w:t>501/2006</w:t>
      </w:r>
      <w:r w:rsidR="000F56D1">
        <w:rPr>
          <w:rFonts w:ascii="Arial" w:hAnsi="Arial" w:cs="Arial"/>
          <w:b/>
          <w:sz w:val="24"/>
          <w:szCs w:val="24"/>
          <w:lang w:eastAsia="cs-CZ"/>
        </w:rPr>
        <w:t> </w:t>
      </w:r>
      <w:r w:rsidR="00F41844">
        <w:rPr>
          <w:rFonts w:ascii="Arial" w:hAnsi="Arial" w:cs="Arial"/>
          <w:b/>
          <w:sz w:val="24"/>
          <w:szCs w:val="24"/>
          <w:lang w:eastAsia="cs-CZ"/>
        </w:rPr>
        <w:t>Sb. pro stavby</w:t>
      </w:r>
      <w:r w:rsidR="00920F74" w:rsidRPr="00CB3115">
        <w:rPr>
          <w:rFonts w:ascii="Arial" w:hAnsi="Arial" w:cs="Arial"/>
          <w:b/>
          <w:sz w:val="24"/>
          <w:szCs w:val="24"/>
          <w:lang w:eastAsia="cs-CZ"/>
        </w:rPr>
        <w:t xml:space="preserve"> rozvod</w:t>
      </w:r>
      <w:r w:rsidR="002E0ED0" w:rsidRPr="00CB3115">
        <w:rPr>
          <w:rFonts w:ascii="Arial" w:hAnsi="Arial" w:cs="Arial"/>
          <w:b/>
          <w:sz w:val="24"/>
          <w:szCs w:val="24"/>
          <w:lang w:eastAsia="cs-CZ"/>
        </w:rPr>
        <w:t>ného</w:t>
      </w:r>
      <w:r w:rsidR="00920F74" w:rsidRPr="00CB3115">
        <w:rPr>
          <w:rFonts w:ascii="Arial" w:hAnsi="Arial" w:cs="Arial"/>
          <w:b/>
          <w:sz w:val="24"/>
          <w:szCs w:val="24"/>
          <w:lang w:eastAsia="cs-CZ"/>
        </w:rPr>
        <w:t xml:space="preserve"> energetického vedení v oblasti elektroenergetiky</w:t>
      </w:r>
    </w:p>
    <w:p w:rsidR="00BC4B4C" w:rsidRPr="00CB3115" w:rsidRDefault="007726E7" w:rsidP="003F321A">
      <w:pPr>
        <w:tabs>
          <w:tab w:val="left" w:pos="567"/>
        </w:tabs>
        <w:spacing w:after="120"/>
      </w:pPr>
      <w:r w:rsidRPr="00CB3115">
        <w:t>Kapitola</w:t>
      </w:r>
      <w:r w:rsidR="00A01908">
        <w:t xml:space="preserve"> </w:t>
      </w:r>
      <w:r w:rsidR="00E34625">
        <w:t>č.</w:t>
      </w:r>
      <w:r w:rsidR="00E34625" w:rsidRPr="00CB3115">
        <w:t xml:space="preserve"> </w:t>
      </w:r>
      <w:r w:rsidRPr="00CB3115">
        <w:t>1</w:t>
      </w:r>
      <w:r w:rsidR="00E34625">
        <w:t>-</w:t>
      </w:r>
      <w:r w:rsidRPr="00CB3115">
        <w:t>4 této pracovní pomůcky se na řízení o povolení výjimky z § 24 odst. 1 vyhlášky č.</w:t>
      </w:r>
      <w:r w:rsidR="000F56D1">
        <w:t> </w:t>
      </w:r>
      <w:r w:rsidRPr="00CB3115">
        <w:t xml:space="preserve">501/2006 Sb. pro stavby </w:t>
      </w:r>
      <w:r w:rsidR="00BC6424">
        <w:t xml:space="preserve">rozvodného energetického vedení v oblasti elektroenergetiky </w:t>
      </w:r>
      <w:r w:rsidRPr="00CB3115">
        <w:t>uplatní obdobně, nebude-li níže uvedeno jinak.</w:t>
      </w:r>
    </w:p>
    <w:p w:rsidR="00BC4B4C" w:rsidRDefault="007726E7" w:rsidP="003F321A">
      <w:pPr>
        <w:tabs>
          <w:tab w:val="left" w:pos="567"/>
        </w:tabs>
        <w:spacing w:after="120"/>
        <w:rPr>
          <w:shd w:val="clear" w:color="auto" w:fill="FFFFFF"/>
        </w:rPr>
      </w:pPr>
      <w:r w:rsidRPr="00CB3115">
        <w:t>Podle § 24 odst. 1 vyhlášky č. 501/2006 Sb. se r</w:t>
      </w:r>
      <w:r w:rsidRPr="00CB3115">
        <w:rPr>
          <w:shd w:val="clear" w:color="auto" w:fill="FFFFFF"/>
        </w:rPr>
        <w:t xml:space="preserve">ozvodná energetická vedení a vedení elektronických komunikací v zastavěném území obcí umisťují pod zem. Právo žádat o povolení výjimky z tohoto obecného požadavku na výstavbu plyne </w:t>
      </w:r>
      <w:r w:rsidR="00521BFF">
        <w:rPr>
          <w:shd w:val="clear" w:color="auto" w:fill="FFFFFF"/>
        </w:rPr>
        <w:t>z § 26 vyhlášky č. 501/2006 Sb.</w:t>
      </w:r>
    </w:p>
    <w:p w:rsidR="00521BFF" w:rsidRDefault="00400674" w:rsidP="00BC4B4C">
      <w:pPr>
        <w:tabs>
          <w:tab w:val="left" w:pos="567"/>
        </w:tabs>
        <w:rPr>
          <w:shd w:val="clear" w:color="auto" w:fill="FFFFFF"/>
        </w:rPr>
      </w:pPr>
      <w:r>
        <w:rPr>
          <w:shd w:val="clear" w:color="auto" w:fill="FFFFFF"/>
        </w:rPr>
        <w:t>Řízení o povolení výjimky z povinnosti umisťovat r</w:t>
      </w:r>
      <w:r w:rsidR="00AD1324">
        <w:rPr>
          <w:shd w:val="clear" w:color="auto" w:fill="FFFFFF"/>
        </w:rPr>
        <w:t>ozvodné energetické vedení</w:t>
      </w:r>
      <w:r>
        <w:rPr>
          <w:shd w:val="clear" w:color="auto" w:fill="FFFFFF"/>
        </w:rPr>
        <w:t xml:space="preserve"> pod zem</w:t>
      </w:r>
      <w:r w:rsidR="00AD1324">
        <w:rPr>
          <w:shd w:val="clear" w:color="auto" w:fill="FFFFFF"/>
        </w:rPr>
        <w:t xml:space="preserve"> v</w:t>
      </w:r>
      <w:r w:rsidR="00521BFF">
        <w:rPr>
          <w:shd w:val="clear" w:color="auto" w:fill="FFFFFF"/>
        </w:rPr>
        <w:t xml:space="preserve"> oblasti elektroenergetiky se </w:t>
      </w:r>
      <w:r w:rsidR="00EE1300">
        <w:rPr>
          <w:shd w:val="clear" w:color="auto" w:fill="FFFFFF"/>
        </w:rPr>
        <w:t>bude</w:t>
      </w:r>
      <w:r>
        <w:rPr>
          <w:shd w:val="clear" w:color="auto" w:fill="FFFFFF"/>
        </w:rPr>
        <w:t xml:space="preserve"> vztahovat</w:t>
      </w:r>
      <w:r w:rsidR="00EE1300">
        <w:rPr>
          <w:shd w:val="clear" w:color="auto" w:fill="FFFFFF"/>
        </w:rPr>
        <w:t xml:space="preserve"> především</w:t>
      </w:r>
      <w:r w:rsidR="00AD1324">
        <w:rPr>
          <w:shd w:val="clear" w:color="auto" w:fill="FFFFFF"/>
        </w:rPr>
        <w:t xml:space="preserve"> </w:t>
      </w:r>
      <w:r w:rsidR="00255083">
        <w:rPr>
          <w:shd w:val="clear" w:color="auto" w:fill="FFFFFF"/>
        </w:rPr>
        <w:t>na</w:t>
      </w:r>
      <w:r w:rsidR="00AD1324">
        <w:rPr>
          <w:shd w:val="clear" w:color="auto" w:fill="FFFFFF"/>
        </w:rPr>
        <w:t xml:space="preserve"> </w:t>
      </w:r>
      <w:r w:rsidR="00521BFF">
        <w:rPr>
          <w:shd w:val="clear" w:color="auto" w:fill="FFFFFF"/>
        </w:rPr>
        <w:t>stavby přenosové</w:t>
      </w:r>
      <w:r w:rsidR="006D0800">
        <w:rPr>
          <w:shd w:val="clear" w:color="auto" w:fill="FFFFFF"/>
        </w:rPr>
        <w:t xml:space="preserve"> soustavy </w:t>
      </w:r>
      <w:r w:rsidR="009F2E9B">
        <w:rPr>
          <w:shd w:val="clear" w:color="auto" w:fill="FFFFFF"/>
        </w:rPr>
        <w:t>[</w:t>
      </w:r>
      <w:r w:rsidR="006D0800">
        <w:rPr>
          <w:shd w:val="clear" w:color="auto" w:fill="FFFFFF"/>
        </w:rPr>
        <w:t>§ 2 odst. 2 písm. a) bod 10 zákona č. 458/200 Sb.</w:t>
      </w:r>
      <w:r w:rsidR="009F2E9B">
        <w:rPr>
          <w:shd w:val="clear" w:color="auto" w:fill="FFFFFF"/>
        </w:rPr>
        <w:t>]</w:t>
      </w:r>
      <w:r w:rsidR="00521BFF">
        <w:rPr>
          <w:shd w:val="clear" w:color="auto" w:fill="FFFFFF"/>
        </w:rPr>
        <w:t xml:space="preserve"> a distribuční soustavy</w:t>
      </w:r>
      <w:r w:rsidR="006D0800">
        <w:rPr>
          <w:shd w:val="clear" w:color="auto" w:fill="FFFFFF"/>
        </w:rPr>
        <w:t xml:space="preserve"> </w:t>
      </w:r>
      <w:r w:rsidR="009F2E9B">
        <w:rPr>
          <w:shd w:val="clear" w:color="auto" w:fill="FFFFFF"/>
        </w:rPr>
        <w:t>[</w:t>
      </w:r>
      <w:r w:rsidR="006D0800">
        <w:rPr>
          <w:shd w:val="clear" w:color="auto" w:fill="FFFFFF"/>
        </w:rPr>
        <w:t>§ 2 odst. 2 písm. a) bod 1 zákona č.</w:t>
      </w:r>
      <w:r w:rsidR="00EF44AC">
        <w:rPr>
          <w:shd w:val="clear" w:color="auto" w:fill="FFFFFF"/>
        </w:rPr>
        <w:t> </w:t>
      </w:r>
      <w:r w:rsidR="006D0800">
        <w:rPr>
          <w:shd w:val="clear" w:color="auto" w:fill="FFFFFF"/>
        </w:rPr>
        <w:t>458/200</w:t>
      </w:r>
      <w:r w:rsidR="00EF44AC">
        <w:rPr>
          <w:shd w:val="clear" w:color="auto" w:fill="FFFFFF"/>
        </w:rPr>
        <w:t> </w:t>
      </w:r>
      <w:r w:rsidR="006D0800">
        <w:rPr>
          <w:shd w:val="clear" w:color="auto" w:fill="FFFFFF"/>
        </w:rPr>
        <w:t>Sb.</w:t>
      </w:r>
      <w:r w:rsidR="00A75FA9">
        <w:rPr>
          <w:shd w:val="clear" w:color="auto" w:fill="FFFFFF"/>
        </w:rPr>
        <w:t>]</w:t>
      </w:r>
      <w:r w:rsidR="006D0800">
        <w:rPr>
          <w:shd w:val="clear" w:color="auto" w:fill="FFFFFF"/>
        </w:rPr>
        <w:t>.</w:t>
      </w:r>
    </w:p>
    <w:p w:rsidR="00FC41C0" w:rsidRDefault="00FC41C0" w:rsidP="00BC4B4C">
      <w:pPr>
        <w:tabs>
          <w:tab w:val="left" w:pos="567"/>
        </w:tabs>
        <w:rPr>
          <w:shd w:val="clear" w:color="auto" w:fill="FFFFFF"/>
        </w:rPr>
      </w:pPr>
    </w:p>
    <w:p w:rsidR="00BC4B4C" w:rsidRPr="00CA702C" w:rsidRDefault="007726E7" w:rsidP="00CA702C">
      <w:pPr>
        <w:pStyle w:val="Odstavecseseznamem"/>
        <w:numPr>
          <w:ilvl w:val="1"/>
          <w:numId w:val="2"/>
        </w:numPr>
        <w:tabs>
          <w:tab w:val="left" w:pos="567"/>
        </w:tabs>
        <w:ind w:left="426"/>
        <w:rPr>
          <w:b/>
        </w:rPr>
      </w:pPr>
      <w:r w:rsidRPr="00CA702C">
        <w:rPr>
          <w:rFonts w:ascii="Arial" w:hAnsi="Arial" w:cs="Arial"/>
          <w:b/>
        </w:rPr>
        <w:t>Žádost</w:t>
      </w:r>
    </w:p>
    <w:p w:rsidR="00BC4B4C" w:rsidRPr="00CB3115" w:rsidRDefault="007726E7" w:rsidP="003F321A">
      <w:pPr>
        <w:tabs>
          <w:tab w:val="left" w:pos="567"/>
        </w:tabs>
        <w:spacing w:after="120"/>
        <w:rPr>
          <w:shd w:val="clear" w:color="auto" w:fill="FFFFFF"/>
        </w:rPr>
      </w:pPr>
      <w:r w:rsidRPr="00CB3115">
        <w:rPr>
          <w:shd w:val="clear" w:color="auto" w:fill="FFFFFF"/>
        </w:rPr>
        <w:t>Žadatel v žádosti uvede, že žádá o povolení výjimky z § 24 odst. 1 vyhlášky č. 501/2006 Sb.</w:t>
      </w:r>
    </w:p>
    <w:p w:rsidR="00442C78" w:rsidRPr="00CB3115" w:rsidRDefault="00442C78" w:rsidP="003F321A">
      <w:pPr>
        <w:tabs>
          <w:tab w:val="left" w:pos="567"/>
        </w:tabs>
        <w:spacing w:after="120"/>
        <w:rPr>
          <w:shd w:val="clear" w:color="auto" w:fill="FFFFFF"/>
        </w:rPr>
      </w:pPr>
      <w:r w:rsidRPr="00CB3115">
        <w:rPr>
          <w:shd w:val="clear" w:color="auto" w:fill="FFFFFF"/>
        </w:rPr>
        <w:t>Žádost lze podat samo</w:t>
      </w:r>
      <w:r w:rsidR="00EE1D5E">
        <w:rPr>
          <w:shd w:val="clear" w:color="auto" w:fill="FFFFFF"/>
        </w:rPr>
        <w:t>s</w:t>
      </w:r>
      <w:r w:rsidRPr="00CB3115">
        <w:rPr>
          <w:shd w:val="clear" w:color="auto" w:fill="FFFFFF"/>
        </w:rPr>
        <w:t>t</w:t>
      </w:r>
      <w:r w:rsidR="00EE1D5E">
        <w:rPr>
          <w:shd w:val="clear" w:color="auto" w:fill="FFFFFF"/>
        </w:rPr>
        <w:t>at</w:t>
      </w:r>
      <w:r w:rsidRPr="00CB3115">
        <w:rPr>
          <w:shd w:val="clear" w:color="auto" w:fill="FFFFFF"/>
        </w:rPr>
        <w:t>ně nebo ji spojit s žádostí o vydání územního rozhodnutí (dále jen „společná žádost“).</w:t>
      </w:r>
    </w:p>
    <w:p w:rsidR="00BC4B4C" w:rsidRPr="00CB3115" w:rsidRDefault="007726E7" w:rsidP="003F321A">
      <w:pPr>
        <w:tabs>
          <w:tab w:val="left" w:pos="567"/>
        </w:tabs>
        <w:spacing w:after="120"/>
        <w:rPr>
          <w:shd w:val="clear" w:color="auto" w:fill="FFFFFF"/>
        </w:rPr>
      </w:pPr>
      <w:r w:rsidRPr="00CB3115">
        <w:rPr>
          <w:shd w:val="clear" w:color="auto" w:fill="FFFFFF"/>
        </w:rPr>
        <w:t xml:space="preserve">V odůvodnění žádosti o povolení této výjimky žadatel uvede důvody </w:t>
      </w:r>
      <w:r w:rsidR="00EF44AC">
        <w:rPr>
          <w:shd w:val="clear" w:color="auto" w:fill="FFFFFF"/>
        </w:rPr>
        <w:t>pro její</w:t>
      </w:r>
      <w:r w:rsidR="00EF44AC" w:rsidRPr="00CB3115">
        <w:rPr>
          <w:shd w:val="clear" w:color="auto" w:fill="FFFFFF"/>
        </w:rPr>
        <w:t xml:space="preserve"> </w:t>
      </w:r>
      <w:r w:rsidRPr="00CB3115">
        <w:rPr>
          <w:shd w:val="clear" w:color="auto" w:fill="FFFFFF"/>
        </w:rPr>
        <w:t>povolení. V tomto ohledu žadatel odůvodní veřejný zájem, který má převážit nad zájmem na umístění vedení pod zem</w:t>
      </w:r>
      <w:r w:rsidR="002E0ED0" w:rsidRPr="00CB3115">
        <w:rPr>
          <w:shd w:val="clear" w:color="auto" w:fill="FFFFFF"/>
        </w:rPr>
        <w:t>. Pro posouzení veřejného zájmu žadatel specifikuje</w:t>
      </w:r>
      <w:r w:rsidR="00F26B57">
        <w:rPr>
          <w:shd w:val="clear" w:color="auto" w:fill="FFFFFF"/>
        </w:rPr>
        <w:t xml:space="preserve">, z jakého důvodu žádá o povolení výjimky a </w:t>
      </w:r>
      <w:r w:rsidR="002E0ED0" w:rsidRPr="00CB3115">
        <w:rPr>
          <w:shd w:val="clear" w:color="auto" w:fill="FFFFFF"/>
        </w:rPr>
        <w:t xml:space="preserve">v čem spatřuje </w:t>
      </w:r>
      <w:r w:rsidR="00F26B57">
        <w:rPr>
          <w:shd w:val="clear" w:color="auto" w:fill="FFFFFF"/>
        </w:rPr>
        <w:t>nevhodnost</w:t>
      </w:r>
      <w:r w:rsidR="002E0ED0" w:rsidRPr="00CB3115">
        <w:rPr>
          <w:shd w:val="clear" w:color="auto" w:fill="FFFFFF"/>
        </w:rPr>
        <w:t xml:space="preserve"> postupu dle § 24 odst. 1</w:t>
      </w:r>
      <w:r w:rsidR="00B565B4">
        <w:rPr>
          <w:shd w:val="clear" w:color="auto" w:fill="FFFFFF"/>
        </w:rPr>
        <w:t xml:space="preserve"> vyhlášky č. 501/2006 Sb.</w:t>
      </w:r>
      <w:r w:rsidR="002E0ED0" w:rsidRPr="00CB3115">
        <w:rPr>
          <w:shd w:val="clear" w:color="auto" w:fill="FFFFFF"/>
        </w:rPr>
        <w:t xml:space="preserve">, tedy že </w:t>
      </w:r>
      <w:r w:rsidR="002E0ED0" w:rsidRPr="00CB3115">
        <w:t>se r</w:t>
      </w:r>
      <w:r w:rsidR="002E0ED0" w:rsidRPr="00CB3115">
        <w:rPr>
          <w:shd w:val="clear" w:color="auto" w:fill="FFFFFF"/>
        </w:rPr>
        <w:t>ozvodná energetická vedení a vedení elektronických komunikací v zastavěném území obcí umisťují pod zem</w:t>
      </w:r>
      <w:r w:rsidR="00D65B52" w:rsidRPr="00CB3115">
        <w:rPr>
          <w:shd w:val="clear" w:color="auto" w:fill="FFFFFF"/>
        </w:rPr>
        <w:t>. Žadatel dále uv</w:t>
      </w:r>
      <w:r w:rsidR="00774C37" w:rsidRPr="00CB3115">
        <w:rPr>
          <w:shd w:val="clear" w:color="auto" w:fill="FFFFFF"/>
        </w:rPr>
        <w:t xml:space="preserve">ede </w:t>
      </w:r>
      <w:r w:rsidR="00D65B52" w:rsidRPr="00CB3115">
        <w:rPr>
          <w:shd w:val="clear" w:color="auto" w:fill="FFFFFF"/>
        </w:rPr>
        <w:t xml:space="preserve">důvody, ze kterých dovozuje, že umístění rozvodného energetického vedení nad zem převáží co do </w:t>
      </w:r>
      <w:r w:rsidR="00CB609B" w:rsidRPr="00CB3115">
        <w:rPr>
          <w:shd w:val="clear" w:color="auto" w:fill="FFFFFF"/>
        </w:rPr>
        <w:t>účel</w:t>
      </w:r>
      <w:r w:rsidR="00FD47C0" w:rsidRPr="00CB3115">
        <w:rPr>
          <w:shd w:val="clear" w:color="auto" w:fill="FFFFFF"/>
        </w:rPr>
        <w:t xml:space="preserve">u </w:t>
      </w:r>
      <w:r w:rsidR="005C09E8">
        <w:rPr>
          <w:shd w:val="clear" w:color="auto" w:fill="FFFFFF"/>
        </w:rPr>
        <w:t xml:space="preserve">sledovaného obecnými požadavky na výstavbu </w:t>
      </w:r>
      <w:r w:rsidR="00FD47C0" w:rsidRPr="00CB3115">
        <w:rPr>
          <w:shd w:val="clear" w:color="auto" w:fill="FFFFFF"/>
        </w:rPr>
        <w:t xml:space="preserve">a </w:t>
      </w:r>
      <w:r w:rsidR="00E02599">
        <w:rPr>
          <w:shd w:val="clear" w:color="auto" w:fill="FFFFFF"/>
        </w:rPr>
        <w:t xml:space="preserve">co do </w:t>
      </w:r>
      <w:r w:rsidR="00FD47C0" w:rsidRPr="00CB3115">
        <w:rPr>
          <w:shd w:val="clear" w:color="auto" w:fill="FFFFFF"/>
        </w:rPr>
        <w:t>ochrany veřejných zájmů.</w:t>
      </w:r>
    </w:p>
    <w:p w:rsidR="00EF44AC" w:rsidRDefault="00EF44AC" w:rsidP="003F321A">
      <w:pPr>
        <w:tabs>
          <w:tab w:val="left" w:pos="567"/>
        </w:tabs>
        <w:spacing w:after="120"/>
        <w:rPr>
          <w:shd w:val="clear" w:color="auto" w:fill="FFFFFF"/>
        </w:rPr>
      </w:pPr>
      <w:r>
        <w:rPr>
          <w:shd w:val="clear" w:color="auto" w:fill="FFFFFF"/>
        </w:rPr>
        <w:t>V žádosti o výjimku musí žadatel odůvodnit, že navrhované řešení neohrozí bezpečnost, ochranu</w:t>
      </w:r>
      <w:r w:rsidRPr="00EF44AC">
        <w:rPr>
          <w:shd w:val="clear" w:color="auto" w:fill="FFFFFF"/>
        </w:rPr>
        <w:t xml:space="preserve"> zdraví a života osob a sousední pozemky nebo stavby</w:t>
      </w:r>
      <w:r>
        <w:rPr>
          <w:shd w:val="clear" w:color="auto" w:fill="FFFFFF"/>
        </w:rPr>
        <w:t xml:space="preserve"> a že bude tímto řešením</w:t>
      </w:r>
      <w:r w:rsidRPr="00EF44AC">
        <w:rPr>
          <w:shd w:val="clear" w:color="auto" w:fill="FFFFFF"/>
        </w:rPr>
        <w:t xml:space="preserve"> dosaženo účelu sledovaného obecnými požadavky na výstavbu. </w:t>
      </w:r>
    </w:p>
    <w:p w:rsidR="00BC4B4C" w:rsidRPr="00CB3115" w:rsidRDefault="00EF44AC" w:rsidP="00A75FA9">
      <w:pPr>
        <w:tabs>
          <w:tab w:val="left" w:pos="567"/>
        </w:tabs>
        <w:rPr>
          <w:shd w:val="clear" w:color="auto" w:fill="FFFFFF"/>
        </w:rPr>
      </w:pPr>
      <w:r>
        <w:rPr>
          <w:shd w:val="clear" w:color="auto" w:fill="FFFFFF"/>
        </w:rPr>
        <w:t>V</w:t>
      </w:r>
      <w:r w:rsidR="00FD47C0" w:rsidRPr="00CB3115">
        <w:rPr>
          <w:shd w:val="clear" w:color="auto" w:fill="FFFFFF"/>
        </w:rPr>
        <w:t>z</w:t>
      </w:r>
      <w:r w:rsidR="00CA1EF7" w:rsidRPr="00CB3115">
        <w:rPr>
          <w:shd w:val="clear" w:color="auto" w:fill="FFFFFF"/>
        </w:rPr>
        <w:t>h</w:t>
      </w:r>
      <w:r w:rsidR="00FD47C0" w:rsidRPr="00CB3115">
        <w:rPr>
          <w:shd w:val="clear" w:color="auto" w:fill="FFFFFF"/>
        </w:rPr>
        <w:t xml:space="preserve">ledem k výše uvedenému </w:t>
      </w:r>
      <w:r>
        <w:rPr>
          <w:shd w:val="clear" w:color="auto" w:fill="FFFFFF"/>
        </w:rPr>
        <w:t xml:space="preserve">se doporučuje </w:t>
      </w:r>
      <w:r w:rsidRPr="00CB3115">
        <w:rPr>
          <w:shd w:val="clear" w:color="auto" w:fill="FFFFFF"/>
        </w:rPr>
        <w:t>přilož</w:t>
      </w:r>
      <w:r>
        <w:rPr>
          <w:shd w:val="clear" w:color="auto" w:fill="FFFFFF"/>
        </w:rPr>
        <w:t>it</w:t>
      </w:r>
      <w:r w:rsidRPr="00CB3115">
        <w:rPr>
          <w:shd w:val="clear" w:color="auto" w:fill="FFFFFF"/>
        </w:rPr>
        <w:t xml:space="preserve"> </w:t>
      </w:r>
      <w:r w:rsidR="007B64AA" w:rsidRPr="00CB3115">
        <w:rPr>
          <w:shd w:val="clear" w:color="auto" w:fill="FFFFFF"/>
        </w:rPr>
        <w:t>k žádosti</w:t>
      </w:r>
      <w:r w:rsidR="002E2E6A" w:rsidRPr="00CB3115">
        <w:rPr>
          <w:shd w:val="clear" w:color="auto" w:fill="FFFFFF"/>
        </w:rPr>
        <w:t xml:space="preserve"> </w:t>
      </w:r>
      <w:r w:rsidR="00CA1EF7" w:rsidRPr="00CB3115">
        <w:rPr>
          <w:shd w:val="clear" w:color="auto" w:fill="FFFFFF"/>
        </w:rPr>
        <w:t>tyto</w:t>
      </w:r>
      <w:r w:rsidR="007726E7" w:rsidRPr="00CB3115">
        <w:rPr>
          <w:shd w:val="clear" w:color="auto" w:fill="FFFFFF"/>
        </w:rPr>
        <w:t xml:space="preserve"> příloh</w:t>
      </w:r>
      <w:r w:rsidR="007B64AA" w:rsidRPr="00CB3115">
        <w:rPr>
          <w:shd w:val="clear" w:color="auto" w:fill="FFFFFF"/>
        </w:rPr>
        <w:t>y</w:t>
      </w:r>
      <w:r w:rsidR="00CA1EF7" w:rsidRPr="00CB3115">
        <w:rPr>
          <w:shd w:val="clear" w:color="auto" w:fill="FFFFFF"/>
        </w:rPr>
        <w:t>:</w:t>
      </w:r>
    </w:p>
    <w:p w:rsidR="000F2B39" w:rsidRPr="00CB3115" w:rsidRDefault="00EF44AC" w:rsidP="00331F1B">
      <w:pPr>
        <w:pStyle w:val="Odstavecseseznamem"/>
        <w:numPr>
          <w:ilvl w:val="0"/>
          <w:numId w:val="6"/>
        </w:numPr>
        <w:tabs>
          <w:tab w:val="left" w:pos="567"/>
        </w:tabs>
        <w:spacing w:line="240" w:lineRule="auto"/>
        <w:ind w:left="567"/>
        <w:jc w:val="both"/>
        <w:rPr>
          <w:rFonts w:ascii="Arial" w:hAnsi="Arial" w:cs="Arial"/>
          <w:sz w:val="20"/>
          <w:szCs w:val="20"/>
          <w:shd w:val="clear" w:color="auto" w:fill="FFFFFF"/>
        </w:rPr>
      </w:pPr>
      <w:r w:rsidRPr="00CB3115">
        <w:rPr>
          <w:rFonts w:ascii="Arial" w:hAnsi="Arial" w:cs="Arial"/>
          <w:sz w:val="20"/>
          <w:szCs w:val="20"/>
          <w:shd w:val="clear" w:color="auto" w:fill="FFFFFF"/>
        </w:rPr>
        <w:t>analýz</w:t>
      </w:r>
      <w:r>
        <w:rPr>
          <w:rFonts w:ascii="Arial" w:hAnsi="Arial" w:cs="Arial"/>
          <w:sz w:val="20"/>
          <w:szCs w:val="20"/>
          <w:shd w:val="clear" w:color="auto" w:fill="FFFFFF"/>
        </w:rPr>
        <w:t>u</w:t>
      </w:r>
      <w:r w:rsidRPr="00CB3115">
        <w:rPr>
          <w:rFonts w:ascii="Arial" w:hAnsi="Arial" w:cs="Arial"/>
          <w:sz w:val="20"/>
          <w:szCs w:val="20"/>
          <w:shd w:val="clear" w:color="auto" w:fill="FFFFFF"/>
        </w:rPr>
        <w:t xml:space="preserve"> </w:t>
      </w:r>
      <w:r w:rsidR="007726E7" w:rsidRPr="00CB3115">
        <w:rPr>
          <w:rFonts w:ascii="Arial" w:hAnsi="Arial" w:cs="Arial"/>
          <w:sz w:val="20"/>
          <w:szCs w:val="20"/>
          <w:shd w:val="clear" w:color="auto" w:fill="FFFFFF"/>
        </w:rPr>
        <w:t>překážek realizace kabelových vedení pod zemí</w:t>
      </w:r>
      <w:r w:rsidR="004507A6" w:rsidRPr="00CB3115">
        <w:rPr>
          <w:rFonts w:ascii="Arial" w:hAnsi="Arial" w:cs="Arial"/>
          <w:sz w:val="20"/>
          <w:szCs w:val="20"/>
          <w:shd w:val="clear" w:color="auto" w:fill="FFFFFF"/>
        </w:rPr>
        <w:t xml:space="preserve"> a popis negativních vlivů při umístění veden</w:t>
      </w:r>
      <w:r w:rsidR="00E62414" w:rsidRPr="00CB3115">
        <w:rPr>
          <w:rFonts w:ascii="Arial" w:hAnsi="Arial" w:cs="Arial"/>
          <w:sz w:val="20"/>
          <w:szCs w:val="20"/>
          <w:shd w:val="clear" w:color="auto" w:fill="FFFFFF"/>
        </w:rPr>
        <w:t>í</w:t>
      </w:r>
      <w:r w:rsidR="004507A6" w:rsidRPr="00CB3115">
        <w:rPr>
          <w:rFonts w:ascii="Arial" w:hAnsi="Arial" w:cs="Arial"/>
          <w:sz w:val="20"/>
          <w:szCs w:val="20"/>
          <w:shd w:val="clear" w:color="auto" w:fill="FFFFFF"/>
        </w:rPr>
        <w:t xml:space="preserve"> pod zem</w:t>
      </w:r>
      <w:r w:rsidR="000F2B39" w:rsidRPr="00CB3115">
        <w:rPr>
          <w:rFonts w:ascii="Arial" w:hAnsi="Arial" w:cs="Arial"/>
          <w:sz w:val="20"/>
          <w:szCs w:val="20"/>
          <w:shd w:val="clear" w:color="auto" w:fill="FFFFFF"/>
        </w:rPr>
        <w:t xml:space="preserve"> na prostředí</w:t>
      </w:r>
      <w:r>
        <w:rPr>
          <w:rFonts w:ascii="Arial" w:hAnsi="Arial" w:cs="Arial"/>
          <w:sz w:val="20"/>
          <w:szCs w:val="20"/>
          <w:shd w:val="clear" w:color="auto" w:fill="FFFFFF"/>
        </w:rPr>
        <w:t>,</w:t>
      </w:r>
    </w:p>
    <w:p w:rsidR="00BC4B4C" w:rsidRPr="00CB3115" w:rsidRDefault="00D65B52" w:rsidP="00331F1B">
      <w:pPr>
        <w:pStyle w:val="Odstavecseseznamem"/>
        <w:numPr>
          <w:ilvl w:val="0"/>
          <w:numId w:val="6"/>
        </w:numPr>
        <w:tabs>
          <w:tab w:val="left" w:pos="567"/>
        </w:tabs>
        <w:spacing w:line="240" w:lineRule="auto"/>
        <w:ind w:left="567"/>
        <w:jc w:val="both"/>
        <w:rPr>
          <w:rFonts w:ascii="Arial" w:hAnsi="Arial" w:cs="Arial"/>
          <w:sz w:val="20"/>
          <w:szCs w:val="20"/>
          <w:shd w:val="clear" w:color="auto" w:fill="FFFFFF"/>
        </w:rPr>
      </w:pPr>
      <w:r w:rsidRPr="00CB3115">
        <w:rPr>
          <w:rFonts w:ascii="Arial" w:hAnsi="Arial" w:cs="Arial"/>
          <w:sz w:val="20"/>
          <w:szCs w:val="20"/>
          <w:shd w:val="clear" w:color="auto" w:fill="FFFFFF"/>
        </w:rPr>
        <w:t>p</w:t>
      </w:r>
      <w:r w:rsidR="000F2B39" w:rsidRPr="00CB3115">
        <w:rPr>
          <w:rFonts w:ascii="Arial" w:hAnsi="Arial" w:cs="Arial"/>
          <w:sz w:val="20"/>
          <w:szCs w:val="20"/>
          <w:shd w:val="clear" w:color="auto" w:fill="FFFFFF"/>
        </w:rPr>
        <w:t>orovnání řešení realizace nadzemního a podzemního vedení v konkrétním případě</w:t>
      </w:r>
      <w:r w:rsidR="00EF44AC">
        <w:rPr>
          <w:rFonts w:ascii="Arial" w:hAnsi="Arial" w:cs="Arial"/>
          <w:sz w:val="20"/>
          <w:szCs w:val="20"/>
          <w:shd w:val="clear" w:color="auto" w:fill="FFFFFF"/>
        </w:rPr>
        <w:t>,</w:t>
      </w:r>
    </w:p>
    <w:p w:rsidR="000F2B39" w:rsidRPr="00CB3115" w:rsidRDefault="000F2B39" w:rsidP="00331F1B">
      <w:pPr>
        <w:pStyle w:val="Odstavecseseznamem"/>
        <w:numPr>
          <w:ilvl w:val="0"/>
          <w:numId w:val="6"/>
        </w:numPr>
        <w:tabs>
          <w:tab w:val="left" w:pos="567"/>
        </w:tabs>
        <w:spacing w:line="240" w:lineRule="auto"/>
        <w:ind w:left="567"/>
        <w:jc w:val="both"/>
        <w:rPr>
          <w:rFonts w:ascii="Arial" w:hAnsi="Arial" w:cs="Arial"/>
          <w:sz w:val="20"/>
          <w:szCs w:val="20"/>
          <w:shd w:val="clear" w:color="auto" w:fill="FFFFFF"/>
        </w:rPr>
      </w:pPr>
      <w:r w:rsidRPr="00CB3115">
        <w:rPr>
          <w:rFonts w:ascii="Arial" w:hAnsi="Arial" w:cs="Arial"/>
          <w:sz w:val="20"/>
          <w:szCs w:val="20"/>
          <w:shd w:val="clear" w:color="auto" w:fill="FFFFFF"/>
        </w:rPr>
        <w:t>grafické zobrazení stavby, vč. zjednodušené dokumentace pro územní řízení</w:t>
      </w:r>
      <w:r w:rsidR="00EF44AC">
        <w:rPr>
          <w:rFonts w:ascii="Arial" w:hAnsi="Arial" w:cs="Arial"/>
          <w:sz w:val="20"/>
          <w:szCs w:val="20"/>
          <w:shd w:val="clear" w:color="auto" w:fill="FFFFFF"/>
        </w:rPr>
        <w:t>,</w:t>
      </w:r>
    </w:p>
    <w:p w:rsidR="000F2B39" w:rsidRPr="00CB3115" w:rsidRDefault="000F2B39" w:rsidP="00331F1B">
      <w:pPr>
        <w:pStyle w:val="Odstavecseseznamem"/>
        <w:numPr>
          <w:ilvl w:val="0"/>
          <w:numId w:val="6"/>
        </w:numPr>
        <w:tabs>
          <w:tab w:val="left" w:pos="567"/>
        </w:tabs>
        <w:spacing w:after="0" w:line="240" w:lineRule="auto"/>
        <w:ind w:left="567"/>
        <w:jc w:val="both"/>
        <w:rPr>
          <w:rFonts w:ascii="Arial" w:hAnsi="Arial" w:cs="Arial"/>
          <w:sz w:val="20"/>
          <w:szCs w:val="20"/>
          <w:shd w:val="clear" w:color="auto" w:fill="FFFFFF"/>
        </w:rPr>
      </w:pPr>
      <w:r w:rsidRPr="00CB3115">
        <w:rPr>
          <w:rFonts w:ascii="Arial" w:hAnsi="Arial" w:cs="Arial"/>
          <w:sz w:val="20"/>
          <w:szCs w:val="20"/>
          <w:shd w:val="clear" w:color="auto" w:fill="FFFFFF"/>
        </w:rPr>
        <w:t>zobrazení části stavby pro každý úsek, pro který je požadována výjimka (je-li současně žádáno o více výjimek)</w:t>
      </w:r>
    </w:p>
    <w:p w:rsidR="00A75FA9" w:rsidRDefault="00A75FA9" w:rsidP="00A75FA9">
      <w:pPr>
        <w:tabs>
          <w:tab w:val="left" w:pos="567"/>
        </w:tabs>
        <w:spacing w:before="0" w:after="120"/>
        <w:rPr>
          <w:shd w:val="clear" w:color="auto" w:fill="FFFFFF"/>
        </w:rPr>
      </w:pPr>
    </w:p>
    <w:p w:rsidR="004A5057" w:rsidRDefault="004A5057" w:rsidP="003F321A">
      <w:pPr>
        <w:tabs>
          <w:tab w:val="left" w:pos="567"/>
        </w:tabs>
        <w:spacing w:before="0"/>
        <w:rPr>
          <w:b/>
          <w:sz w:val="22"/>
          <w:szCs w:val="22"/>
        </w:rPr>
      </w:pPr>
    </w:p>
    <w:p w:rsidR="00BC4B4C" w:rsidRPr="00151C94" w:rsidRDefault="007726E7" w:rsidP="00CA702C">
      <w:pPr>
        <w:pStyle w:val="Odstavecseseznamem"/>
        <w:numPr>
          <w:ilvl w:val="1"/>
          <w:numId w:val="2"/>
        </w:numPr>
        <w:tabs>
          <w:tab w:val="left" w:pos="567"/>
        </w:tabs>
        <w:ind w:left="426"/>
        <w:rPr>
          <w:b/>
        </w:rPr>
      </w:pPr>
      <w:r w:rsidRPr="00151C94">
        <w:rPr>
          <w:rFonts w:ascii="Arial" w:hAnsi="Arial" w:cs="Arial"/>
          <w:b/>
        </w:rPr>
        <w:t>Okruh dotčených orgánů</w:t>
      </w:r>
    </w:p>
    <w:p w:rsidR="00BC4B4C" w:rsidRPr="00CB3115" w:rsidRDefault="007726E7" w:rsidP="00A75FA9">
      <w:pPr>
        <w:tabs>
          <w:tab w:val="left" w:pos="567"/>
        </w:tabs>
        <w:rPr>
          <w:shd w:val="clear" w:color="auto" w:fill="FFFFFF"/>
        </w:rPr>
      </w:pPr>
      <w:r w:rsidRPr="00CB3115">
        <w:rPr>
          <w:shd w:val="clear" w:color="auto" w:fill="FFFFFF"/>
        </w:rPr>
        <w:t xml:space="preserve">Okruh dotčených orgánů s ohledem na jednotlivé dotčené zájmy určí stavební úřad vždy ve vztahu </w:t>
      </w:r>
      <w:r w:rsidR="00A75FA9">
        <w:rPr>
          <w:shd w:val="clear" w:color="auto" w:fill="FFFFFF"/>
        </w:rPr>
        <w:t>i </w:t>
      </w:r>
      <w:r w:rsidRPr="00CB3115">
        <w:rPr>
          <w:shd w:val="clear" w:color="auto" w:fill="FFFFFF"/>
        </w:rPr>
        <w:t>k</w:t>
      </w:r>
      <w:r w:rsidR="0081012D">
        <w:rPr>
          <w:shd w:val="clear" w:color="auto" w:fill="FFFFFF"/>
        </w:rPr>
        <w:t> </w:t>
      </w:r>
      <w:r w:rsidRPr="00CB3115">
        <w:rPr>
          <w:shd w:val="clear" w:color="auto" w:fill="FFFFFF"/>
        </w:rPr>
        <w:t xml:space="preserve">umístění stavby. </w:t>
      </w:r>
      <w:r w:rsidR="00F22AED">
        <w:rPr>
          <w:shd w:val="clear" w:color="auto" w:fill="FFFFFF"/>
        </w:rPr>
        <w:t>Dotčenými orgány zpravidla budou:</w:t>
      </w:r>
    </w:p>
    <w:p w:rsidR="00BC4B4C" w:rsidRPr="00CB3115" w:rsidRDefault="007726E7" w:rsidP="00331F1B">
      <w:pPr>
        <w:pStyle w:val="Odstavecseseznamem"/>
        <w:numPr>
          <w:ilvl w:val="0"/>
          <w:numId w:val="6"/>
        </w:numPr>
        <w:tabs>
          <w:tab w:val="left" w:pos="567"/>
        </w:tabs>
        <w:spacing w:line="240" w:lineRule="auto"/>
        <w:ind w:left="567"/>
        <w:jc w:val="both"/>
        <w:rPr>
          <w:rFonts w:ascii="Arial" w:hAnsi="Arial" w:cs="Arial"/>
          <w:sz w:val="20"/>
          <w:szCs w:val="20"/>
        </w:rPr>
      </w:pPr>
      <w:r w:rsidRPr="00CB3115">
        <w:rPr>
          <w:rFonts w:ascii="Arial" w:hAnsi="Arial" w:cs="Arial"/>
          <w:sz w:val="20"/>
          <w:szCs w:val="20"/>
        </w:rPr>
        <w:t>krajsk</w:t>
      </w:r>
      <w:r w:rsidR="00F22AED">
        <w:rPr>
          <w:rFonts w:ascii="Arial" w:hAnsi="Arial" w:cs="Arial"/>
          <w:sz w:val="20"/>
          <w:szCs w:val="20"/>
        </w:rPr>
        <w:t>á</w:t>
      </w:r>
      <w:r w:rsidRPr="00CB3115">
        <w:rPr>
          <w:rFonts w:ascii="Arial" w:hAnsi="Arial" w:cs="Arial"/>
          <w:sz w:val="20"/>
          <w:szCs w:val="20"/>
        </w:rPr>
        <w:t xml:space="preserve"> hygienick</w:t>
      </w:r>
      <w:r w:rsidR="00F22AED">
        <w:rPr>
          <w:rFonts w:ascii="Arial" w:hAnsi="Arial" w:cs="Arial"/>
          <w:sz w:val="20"/>
          <w:szCs w:val="20"/>
        </w:rPr>
        <w:t>á</w:t>
      </w:r>
      <w:r w:rsidRPr="00CB3115">
        <w:rPr>
          <w:rFonts w:ascii="Arial" w:hAnsi="Arial" w:cs="Arial"/>
          <w:sz w:val="20"/>
          <w:szCs w:val="20"/>
        </w:rPr>
        <w:t xml:space="preserve"> stanice dle § 82 odst. 2 písm. i) a § 77 zákona č. 258/2000 Sb.</w:t>
      </w:r>
      <w:r w:rsidR="0081012D">
        <w:rPr>
          <w:rFonts w:ascii="Arial" w:hAnsi="Arial" w:cs="Arial"/>
          <w:sz w:val="20"/>
          <w:szCs w:val="20"/>
        </w:rPr>
        <w:t>,</w:t>
      </w:r>
      <w:r w:rsidRPr="00CB3115">
        <w:rPr>
          <w:rFonts w:ascii="Arial" w:hAnsi="Arial" w:cs="Arial"/>
          <w:sz w:val="20"/>
          <w:szCs w:val="20"/>
        </w:rPr>
        <w:t xml:space="preserve"> a to s ohledem na nařízení vlády č. 291/2015 Sb. </w:t>
      </w:r>
      <w:r w:rsidRPr="00CB3115">
        <w:rPr>
          <w:rStyle w:val="apple-converted-space"/>
          <w:rFonts w:ascii="Arial" w:hAnsi="Arial" w:cs="Arial"/>
          <w:b/>
          <w:bCs/>
          <w:shd w:val="clear" w:color="auto" w:fill="FFFFFF"/>
        </w:rPr>
        <w:t> </w:t>
      </w:r>
      <w:r w:rsidRPr="00CB3115">
        <w:rPr>
          <w:rFonts w:ascii="Arial" w:hAnsi="Arial" w:cs="Arial"/>
          <w:bCs/>
          <w:sz w:val="20"/>
          <w:szCs w:val="20"/>
          <w:shd w:val="clear" w:color="auto" w:fill="FFFFFF"/>
        </w:rPr>
        <w:t>o ochraně zdraví před neionizujícím zářením</w:t>
      </w:r>
      <w:r w:rsidR="00A75FA9">
        <w:rPr>
          <w:rFonts w:ascii="Arial" w:hAnsi="Arial" w:cs="Arial"/>
          <w:bCs/>
          <w:sz w:val="20"/>
          <w:szCs w:val="20"/>
          <w:shd w:val="clear" w:color="auto" w:fill="FFFFFF"/>
        </w:rPr>
        <w:t>,</w:t>
      </w:r>
    </w:p>
    <w:p w:rsidR="007726E7" w:rsidRPr="00CB3115" w:rsidRDefault="007726E7" w:rsidP="00331F1B">
      <w:pPr>
        <w:pStyle w:val="Odstavecseseznamem"/>
        <w:numPr>
          <w:ilvl w:val="0"/>
          <w:numId w:val="6"/>
        </w:numPr>
        <w:tabs>
          <w:tab w:val="left" w:pos="567"/>
        </w:tabs>
        <w:spacing w:line="240" w:lineRule="auto"/>
        <w:ind w:left="567"/>
        <w:jc w:val="both"/>
        <w:rPr>
          <w:rFonts w:ascii="Arial" w:hAnsi="Arial" w:cs="Arial"/>
          <w:sz w:val="20"/>
          <w:szCs w:val="20"/>
        </w:rPr>
      </w:pPr>
      <w:r w:rsidRPr="00CB3115">
        <w:rPr>
          <w:rFonts w:ascii="Arial" w:hAnsi="Arial" w:cs="Arial"/>
          <w:sz w:val="20"/>
          <w:szCs w:val="20"/>
        </w:rPr>
        <w:t>Ministerstv</w:t>
      </w:r>
      <w:r w:rsidR="00A75FA9">
        <w:rPr>
          <w:rFonts w:ascii="Arial" w:hAnsi="Arial" w:cs="Arial"/>
          <w:sz w:val="20"/>
          <w:szCs w:val="20"/>
        </w:rPr>
        <w:t>o</w:t>
      </w:r>
      <w:r w:rsidRPr="00CB3115">
        <w:rPr>
          <w:rFonts w:ascii="Arial" w:hAnsi="Arial" w:cs="Arial"/>
          <w:sz w:val="20"/>
          <w:szCs w:val="20"/>
        </w:rPr>
        <w:t xml:space="preserve"> průmyslu a obchodu na základě § 16 písm. x) energetického zákona a </w:t>
      </w:r>
    </w:p>
    <w:p w:rsidR="000F2B39" w:rsidRPr="00CB3115" w:rsidRDefault="007726E7" w:rsidP="00A75FA9">
      <w:pPr>
        <w:pStyle w:val="Odstavecseseznamem"/>
        <w:numPr>
          <w:ilvl w:val="0"/>
          <w:numId w:val="6"/>
        </w:numPr>
        <w:tabs>
          <w:tab w:val="left" w:pos="567"/>
        </w:tabs>
        <w:spacing w:after="120" w:line="240" w:lineRule="auto"/>
        <w:ind w:left="567" w:hanging="357"/>
        <w:jc w:val="both"/>
        <w:rPr>
          <w:rFonts w:ascii="Arial" w:hAnsi="Arial" w:cs="Arial"/>
          <w:sz w:val="20"/>
          <w:szCs w:val="20"/>
        </w:rPr>
      </w:pPr>
      <w:r w:rsidRPr="00CB3115">
        <w:rPr>
          <w:rFonts w:ascii="Arial" w:hAnsi="Arial" w:cs="Arial"/>
          <w:sz w:val="20"/>
          <w:szCs w:val="20"/>
        </w:rPr>
        <w:t>další</w:t>
      </w:r>
      <w:r w:rsidR="00F22AED">
        <w:rPr>
          <w:rFonts w:ascii="Arial" w:hAnsi="Arial" w:cs="Arial"/>
          <w:sz w:val="20"/>
          <w:szCs w:val="20"/>
        </w:rPr>
        <w:t xml:space="preserve"> správní orgány </w:t>
      </w:r>
      <w:r w:rsidRPr="00CB3115">
        <w:rPr>
          <w:rFonts w:ascii="Arial" w:hAnsi="Arial" w:cs="Arial"/>
          <w:sz w:val="20"/>
          <w:szCs w:val="20"/>
        </w:rPr>
        <w:t>s ohledem na konkrétní dotčené zájmy</w:t>
      </w:r>
      <w:r w:rsidR="00A75FA9">
        <w:rPr>
          <w:rFonts w:ascii="Arial" w:hAnsi="Arial" w:cs="Arial"/>
          <w:sz w:val="20"/>
          <w:szCs w:val="20"/>
        </w:rPr>
        <w:t>, a to zejména z hlediska památkového území a přírodně chráněného území</w:t>
      </w:r>
      <w:r w:rsidRPr="00CB3115">
        <w:rPr>
          <w:rFonts w:ascii="Arial" w:hAnsi="Arial" w:cs="Arial"/>
          <w:sz w:val="20"/>
          <w:szCs w:val="20"/>
        </w:rPr>
        <w:t xml:space="preserve">. </w:t>
      </w:r>
    </w:p>
    <w:p w:rsidR="004B351D" w:rsidRDefault="007726E7" w:rsidP="004B351D">
      <w:pPr>
        <w:tabs>
          <w:tab w:val="left" w:pos="567"/>
        </w:tabs>
        <w:spacing w:after="120"/>
        <w:rPr>
          <w:rStyle w:val="Hypertextovodkaz"/>
        </w:rPr>
      </w:pPr>
      <w:r w:rsidRPr="00CB3115">
        <w:rPr>
          <w:lang w:eastAsia="cs-CZ"/>
        </w:rPr>
        <w:t>Pro stanovení okruhu dotčených veřejných zájmů a tedy dotčených orgánů lze vycházet z</w:t>
      </w:r>
      <w:r w:rsidR="001E042B">
        <w:rPr>
          <w:lang w:eastAsia="cs-CZ"/>
        </w:rPr>
        <w:t> </w:t>
      </w:r>
      <w:r w:rsidRPr="00CB3115">
        <w:rPr>
          <w:lang w:eastAsia="cs-CZ"/>
        </w:rPr>
        <w:t xml:space="preserve">aktualizované internetové příručky Ústavu územního rozvoje „Dotčené orgány v procesu územního plánování“, dostupné online na adrese: </w:t>
      </w:r>
      <w:hyperlink r:id="rId18" w:history="1">
        <w:r w:rsidR="004B351D" w:rsidRPr="00B64A6A">
          <w:rPr>
            <w:rStyle w:val="Hypertextovodkaz"/>
          </w:rPr>
          <w:t>http://www.uur.cz/default.asp?ID=2588</w:t>
        </w:r>
      </w:hyperlink>
      <w:r w:rsidR="004B351D">
        <w:rPr>
          <w:rStyle w:val="Hypertextovodkaz"/>
        </w:rPr>
        <w:t>.</w:t>
      </w:r>
    </w:p>
    <w:p w:rsidR="00BC310D" w:rsidRPr="00BC310D" w:rsidRDefault="00BC310D" w:rsidP="004B351D">
      <w:pPr>
        <w:tabs>
          <w:tab w:val="left" w:pos="567"/>
        </w:tabs>
        <w:spacing w:after="120"/>
      </w:pPr>
      <w:r w:rsidRPr="00BC310D">
        <w:t>S ohledem na procesní ekonomii</w:t>
      </w:r>
      <w:r>
        <w:t xml:space="preserve"> správního řízení může žadatel ve smyslu § 21 stavebního zákona požádat stavební úřad o územně plánovací informaci o podmínkách vydání územního rozhodnutí, včetně seznamu dotčených orgánů, a to i pro řízení o povolení výjimky.    </w:t>
      </w:r>
    </w:p>
    <w:p w:rsidR="00FC41C0" w:rsidRDefault="00FC41C0" w:rsidP="00BC310D">
      <w:pPr>
        <w:spacing w:before="0" w:after="120"/>
        <w:rPr>
          <w:b/>
          <w:color w:val="00B050"/>
        </w:rPr>
      </w:pPr>
    </w:p>
    <w:p w:rsidR="004A5057" w:rsidRPr="005E0636" w:rsidRDefault="004A5057" w:rsidP="004A5057">
      <w:pPr>
        <w:spacing w:before="0"/>
        <w:rPr>
          <w:b/>
          <w:color w:val="00B050"/>
        </w:rPr>
      </w:pPr>
    </w:p>
    <w:p w:rsidR="00BC4B4C" w:rsidRPr="00CA702C" w:rsidRDefault="007726E7" w:rsidP="00CA702C">
      <w:pPr>
        <w:pStyle w:val="Odstavecseseznamem"/>
        <w:numPr>
          <w:ilvl w:val="1"/>
          <w:numId w:val="2"/>
        </w:numPr>
        <w:tabs>
          <w:tab w:val="left" w:pos="567"/>
        </w:tabs>
        <w:ind w:left="426"/>
        <w:rPr>
          <w:b/>
        </w:rPr>
      </w:pPr>
      <w:r w:rsidRPr="00CA702C">
        <w:rPr>
          <w:rFonts w:ascii="Arial" w:hAnsi="Arial" w:cs="Arial"/>
          <w:b/>
        </w:rPr>
        <w:t>Vyhodnocení podkladů pro vydání rozhodnutí</w:t>
      </w:r>
    </w:p>
    <w:p w:rsidR="003F397A" w:rsidRPr="00CB3115" w:rsidRDefault="007B64AA" w:rsidP="003F321A">
      <w:pPr>
        <w:tabs>
          <w:tab w:val="left" w:pos="567"/>
        </w:tabs>
        <w:spacing w:after="120"/>
      </w:pPr>
      <w:r w:rsidRPr="00CB3115">
        <w:t>Stavební úřad posoudí záměr žadatele z hlediska účelu sledovaného obecnými požadavky na</w:t>
      </w:r>
      <w:r w:rsidR="005E0636">
        <w:t> </w:t>
      </w:r>
      <w:r w:rsidRPr="00CB3115">
        <w:t xml:space="preserve">výstavbu a ohrožení bezpečnosti, ochrany zdraví a života osob a sousedních pozemků a staveb. </w:t>
      </w:r>
      <w:r w:rsidR="009E2E6E" w:rsidRPr="00CB3115">
        <w:t>Stavební úřad přihlédne vždy ke všem podkladů</w:t>
      </w:r>
      <w:r w:rsidR="007E2591">
        <w:t>m</w:t>
      </w:r>
      <w:r w:rsidR="009E2E6E" w:rsidRPr="00CB3115">
        <w:t xml:space="preserve">, z nichž vyplývají skutečnosti prokazující vhodnost řešení žadatele a </w:t>
      </w:r>
      <w:r w:rsidR="009A1685" w:rsidRPr="00CB3115">
        <w:t>splnění podmínek povolení výjimky.</w:t>
      </w:r>
    </w:p>
    <w:p w:rsidR="00151C94" w:rsidRDefault="00151C94">
      <w:pPr>
        <w:spacing w:before="0" w:after="200" w:line="276" w:lineRule="auto"/>
        <w:jc w:val="left"/>
      </w:pPr>
      <w:r>
        <w:br w:type="page"/>
      </w:r>
    </w:p>
    <w:p w:rsidR="00774648" w:rsidRPr="00CA702C" w:rsidRDefault="00774648" w:rsidP="00CA702C">
      <w:pPr>
        <w:pStyle w:val="Odstavecseseznamem"/>
        <w:numPr>
          <w:ilvl w:val="1"/>
          <w:numId w:val="2"/>
        </w:numPr>
        <w:tabs>
          <w:tab w:val="left" w:pos="567"/>
        </w:tabs>
        <w:spacing w:after="120"/>
        <w:ind w:left="426"/>
        <w:rPr>
          <w:b/>
        </w:rPr>
      </w:pPr>
      <w:r w:rsidRPr="00CA702C">
        <w:rPr>
          <w:rFonts w:ascii="Arial" w:hAnsi="Arial" w:cs="Arial"/>
          <w:b/>
        </w:rPr>
        <w:lastRenderedPageBreak/>
        <w:t>Vydání rozhodnutí</w:t>
      </w:r>
    </w:p>
    <w:p w:rsidR="00442C78" w:rsidRDefault="00442C78" w:rsidP="003F321A">
      <w:pPr>
        <w:spacing w:before="120" w:after="120"/>
      </w:pPr>
      <w:r w:rsidRPr="00C73DB4">
        <w:t>Stavební úřad vydá samostatné rozhodnutí nebo společné rozhodnutí podle § 140</w:t>
      </w:r>
      <w:r w:rsidR="002C581E">
        <w:t xml:space="preserve"> správního řádu</w:t>
      </w:r>
      <w:r w:rsidRPr="00C73DB4">
        <w:t xml:space="preserve">. Stavební úřad </w:t>
      </w:r>
      <w:r w:rsidR="00634425" w:rsidRPr="00634425">
        <w:t xml:space="preserve">může na požádání účastníka nebo z moci úřední usnesením </w:t>
      </w:r>
      <w:r w:rsidR="00634425" w:rsidRPr="00C73DB4">
        <w:t>spoj</w:t>
      </w:r>
      <w:r w:rsidR="00634425">
        <w:t>it</w:t>
      </w:r>
      <w:r w:rsidR="00634425" w:rsidRPr="00C73DB4">
        <w:t xml:space="preserve"> </w:t>
      </w:r>
      <w:r w:rsidR="00F22AED">
        <w:t>řízení</w:t>
      </w:r>
      <w:r w:rsidRPr="00C73DB4">
        <w:t xml:space="preserve"> o povolení výjimky s územním </w:t>
      </w:r>
      <w:r w:rsidR="00F22AED">
        <w:t>řízením</w:t>
      </w:r>
      <w:r w:rsidRPr="00C73DB4">
        <w:t>, pokud</w:t>
      </w:r>
      <w:r w:rsidR="00634425">
        <w:t xml:space="preserve"> </w:t>
      </w:r>
      <w:r w:rsidR="00634425" w:rsidRPr="00634425">
        <w:t>se týkají téhož předmětu řízení nebo spolu jinak věcně souvisejí anebo se týkají týchž účastníků, nebrání-li tomu povaha věci, účel řízení anebo ochrana práv nebo oprávněných zájmů účastníků. Spojit řízení lze i v průběhu řízení za předpokladu, že tím nevznikne nebezpečí újmy některému z</w:t>
      </w:r>
      <w:r w:rsidR="00634425">
        <w:t> </w:t>
      </w:r>
      <w:r w:rsidR="00634425" w:rsidRPr="00634425">
        <w:t>účastníků</w:t>
      </w:r>
      <w:r w:rsidR="00634425">
        <w:t>.</w:t>
      </w:r>
    </w:p>
    <w:p w:rsidR="00634425" w:rsidRPr="00C73DB4" w:rsidRDefault="00634425" w:rsidP="005E0636">
      <w:r>
        <w:t>V praxi mohou nastat tyto případy:</w:t>
      </w:r>
    </w:p>
    <w:p w:rsidR="00733C6B" w:rsidRPr="00C73DB4" w:rsidRDefault="00733C6B" w:rsidP="005E0636">
      <w:pPr>
        <w:pStyle w:val="Odstavecseseznamem"/>
        <w:numPr>
          <w:ilvl w:val="0"/>
          <w:numId w:val="10"/>
        </w:numPr>
        <w:jc w:val="both"/>
        <w:rPr>
          <w:rFonts w:ascii="Arial" w:hAnsi="Arial" w:cs="Arial"/>
          <w:sz w:val="20"/>
          <w:szCs w:val="20"/>
        </w:rPr>
      </w:pPr>
      <w:r w:rsidRPr="00C73DB4">
        <w:rPr>
          <w:rFonts w:ascii="Arial" w:hAnsi="Arial" w:cs="Arial"/>
          <w:sz w:val="20"/>
          <w:szCs w:val="20"/>
        </w:rPr>
        <w:t>žádost o povolení výjimky byla podána před podáním žádosti o vydání územního rozhodnutí</w:t>
      </w:r>
      <w:r w:rsidR="00634425">
        <w:rPr>
          <w:rFonts w:ascii="Arial" w:hAnsi="Arial" w:cs="Arial"/>
          <w:sz w:val="20"/>
          <w:szCs w:val="20"/>
        </w:rPr>
        <w:t>;</w:t>
      </w:r>
      <w:r w:rsidRPr="00C73DB4">
        <w:rPr>
          <w:rFonts w:ascii="Arial" w:hAnsi="Arial" w:cs="Arial"/>
          <w:sz w:val="20"/>
          <w:szCs w:val="20"/>
        </w:rPr>
        <w:t xml:space="preserve"> </w:t>
      </w:r>
      <w:r w:rsidR="00634425">
        <w:rPr>
          <w:rFonts w:ascii="Arial" w:hAnsi="Arial" w:cs="Arial"/>
          <w:sz w:val="20"/>
          <w:szCs w:val="20"/>
        </w:rPr>
        <w:t>v</w:t>
      </w:r>
      <w:r w:rsidR="00634425" w:rsidRPr="00C73DB4">
        <w:rPr>
          <w:rFonts w:ascii="Arial" w:hAnsi="Arial" w:cs="Arial"/>
          <w:sz w:val="20"/>
          <w:szCs w:val="20"/>
        </w:rPr>
        <w:t> </w:t>
      </w:r>
      <w:r w:rsidRPr="00C73DB4">
        <w:rPr>
          <w:rFonts w:ascii="Arial" w:hAnsi="Arial" w:cs="Arial"/>
          <w:sz w:val="20"/>
          <w:szCs w:val="20"/>
        </w:rPr>
        <w:t xml:space="preserve">takovém </w:t>
      </w:r>
      <w:r w:rsidR="004B4861" w:rsidRPr="00C73DB4">
        <w:rPr>
          <w:rFonts w:ascii="Arial" w:hAnsi="Arial" w:cs="Arial"/>
          <w:sz w:val="20"/>
          <w:szCs w:val="20"/>
        </w:rPr>
        <w:t xml:space="preserve">případě stavební úřad rozhodne společně </w:t>
      </w:r>
      <w:r w:rsidR="00634425">
        <w:rPr>
          <w:rFonts w:ascii="Arial" w:hAnsi="Arial" w:cs="Arial"/>
          <w:sz w:val="20"/>
          <w:szCs w:val="20"/>
        </w:rPr>
        <w:t>tehdy</w:t>
      </w:r>
      <w:r w:rsidR="004B4861" w:rsidRPr="00C73DB4">
        <w:rPr>
          <w:rFonts w:ascii="Arial" w:hAnsi="Arial" w:cs="Arial"/>
          <w:sz w:val="20"/>
          <w:szCs w:val="20"/>
        </w:rPr>
        <w:t xml:space="preserve">, pokud by vydání územního rozhodnutí </w:t>
      </w:r>
      <w:r w:rsidR="00800C3C">
        <w:rPr>
          <w:rFonts w:ascii="Arial" w:hAnsi="Arial" w:cs="Arial"/>
          <w:sz w:val="20"/>
          <w:szCs w:val="20"/>
        </w:rPr>
        <w:t>ne</w:t>
      </w:r>
      <w:r w:rsidR="004B4861" w:rsidRPr="00C73DB4">
        <w:rPr>
          <w:rFonts w:ascii="Arial" w:hAnsi="Arial" w:cs="Arial"/>
          <w:sz w:val="20"/>
          <w:szCs w:val="20"/>
        </w:rPr>
        <w:t>trvalo nepřiměřeně déle, než vydání rozhodnutí o povolení v</w:t>
      </w:r>
      <w:r w:rsidR="00481414">
        <w:rPr>
          <w:rFonts w:ascii="Arial" w:hAnsi="Arial" w:cs="Arial"/>
          <w:sz w:val="20"/>
          <w:szCs w:val="20"/>
        </w:rPr>
        <w:t xml:space="preserve">ýjimky; </w:t>
      </w:r>
      <w:r w:rsidR="00F22AED">
        <w:rPr>
          <w:rFonts w:ascii="Arial" w:hAnsi="Arial" w:cs="Arial"/>
          <w:sz w:val="20"/>
          <w:szCs w:val="20"/>
        </w:rPr>
        <w:t>nebo</w:t>
      </w:r>
    </w:p>
    <w:p w:rsidR="00442C78" w:rsidRPr="00C73DB4" w:rsidRDefault="00442C78" w:rsidP="005E0636">
      <w:pPr>
        <w:pStyle w:val="Odstavecseseznamem"/>
        <w:numPr>
          <w:ilvl w:val="0"/>
          <w:numId w:val="10"/>
        </w:numPr>
        <w:jc w:val="both"/>
        <w:rPr>
          <w:rFonts w:ascii="Arial" w:hAnsi="Arial" w:cs="Arial"/>
          <w:sz w:val="20"/>
          <w:szCs w:val="20"/>
        </w:rPr>
      </w:pPr>
      <w:r w:rsidRPr="00C73DB4">
        <w:rPr>
          <w:rFonts w:ascii="Arial" w:hAnsi="Arial" w:cs="Arial"/>
          <w:sz w:val="20"/>
          <w:szCs w:val="20"/>
        </w:rPr>
        <w:t>žádost o povolení výjimky byla podána zároveň s žádostí o vydání územního rozhodnutí</w:t>
      </w:r>
      <w:r w:rsidR="00481414">
        <w:rPr>
          <w:rFonts w:ascii="Arial" w:hAnsi="Arial" w:cs="Arial"/>
          <w:sz w:val="20"/>
          <w:szCs w:val="20"/>
        </w:rPr>
        <w:t xml:space="preserve">; </w:t>
      </w:r>
      <w:r w:rsidR="00634425">
        <w:rPr>
          <w:rFonts w:ascii="Arial" w:hAnsi="Arial" w:cs="Arial"/>
          <w:sz w:val="20"/>
          <w:szCs w:val="20"/>
        </w:rPr>
        <w:t>nebo</w:t>
      </w:r>
    </w:p>
    <w:p w:rsidR="00442C78" w:rsidRDefault="00442C78" w:rsidP="005E0636">
      <w:pPr>
        <w:pStyle w:val="Odstavecseseznamem"/>
        <w:numPr>
          <w:ilvl w:val="0"/>
          <w:numId w:val="10"/>
        </w:numPr>
        <w:jc w:val="both"/>
        <w:rPr>
          <w:rFonts w:ascii="Arial" w:hAnsi="Arial" w:cs="Arial"/>
          <w:sz w:val="20"/>
          <w:szCs w:val="20"/>
        </w:rPr>
      </w:pPr>
      <w:r w:rsidRPr="00C73DB4">
        <w:rPr>
          <w:rFonts w:ascii="Arial" w:hAnsi="Arial" w:cs="Arial"/>
          <w:sz w:val="20"/>
          <w:szCs w:val="20"/>
        </w:rPr>
        <w:t>žádost o povolení výjimky byla podána po podání žádosti o vydání územního rozhodnutí</w:t>
      </w:r>
      <w:r w:rsidR="004B4861" w:rsidRPr="00C73DB4">
        <w:rPr>
          <w:rFonts w:ascii="Arial" w:hAnsi="Arial" w:cs="Arial"/>
          <w:sz w:val="20"/>
          <w:szCs w:val="20"/>
        </w:rPr>
        <w:t>.</w:t>
      </w:r>
    </w:p>
    <w:p w:rsidR="005E0636" w:rsidRDefault="005E0636" w:rsidP="005E0636"/>
    <w:p w:rsidR="005E0636" w:rsidRDefault="005E0636" w:rsidP="005E0636"/>
    <w:p w:rsidR="005E0636" w:rsidRDefault="005E0636" w:rsidP="005E0636"/>
    <w:p w:rsidR="005E0636" w:rsidRDefault="005E0636" w:rsidP="005E0636"/>
    <w:p w:rsidR="005E0636" w:rsidRPr="005E0636" w:rsidRDefault="005E0636" w:rsidP="005E0636">
      <w:r>
        <w:t>V Praze dne: 11. července 2016</w:t>
      </w:r>
    </w:p>
    <w:sectPr w:rsidR="005E0636" w:rsidRPr="005E0636" w:rsidSect="00B16B7B">
      <w:headerReference w:type="default" r:id="rId19"/>
      <w:footerReference w:type="default" r:id="rId20"/>
      <w:pgSz w:w="11906" w:h="16838"/>
      <w:pgMar w:top="208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A6" w:rsidRDefault="000032A6" w:rsidP="009477E4">
      <w:pPr>
        <w:spacing w:before="0"/>
      </w:pPr>
      <w:r>
        <w:separator/>
      </w:r>
    </w:p>
  </w:endnote>
  <w:endnote w:type="continuationSeparator" w:id="0">
    <w:p w:rsidR="000032A6" w:rsidRDefault="000032A6" w:rsidP="009477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179451"/>
      <w:docPartObj>
        <w:docPartGallery w:val="Page Numbers (Bottom of Page)"/>
        <w:docPartUnique/>
      </w:docPartObj>
    </w:sdtPr>
    <w:sdtEndPr/>
    <w:sdtContent>
      <w:p w:rsidR="007E3682" w:rsidRDefault="007E3682">
        <w:pPr>
          <w:pStyle w:val="Zpat"/>
          <w:jc w:val="center"/>
        </w:pPr>
        <w:r>
          <w:fldChar w:fldCharType="begin"/>
        </w:r>
        <w:r>
          <w:instrText>PAGE   \* MERGEFORMAT</w:instrText>
        </w:r>
        <w:r>
          <w:fldChar w:fldCharType="separate"/>
        </w:r>
        <w:r w:rsidR="00C618FD">
          <w:rPr>
            <w:noProof/>
          </w:rPr>
          <w:t>8</w:t>
        </w:r>
        <w:r>
          <w:fldChar w:fldCharType="end"/>
        </w:r>
      </w:p>
    </w:sdtContent>
  </w:sdt>
  <w:p w:rsidR="007E3682" w:rsidRDefault="007E36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A6" w:rsidRDefault="000032A6" w:rsidP="009477E4">
      <w:pPr>
        <w:spacing w:before="0"/>
      </w:pPr>
      <w:r>
        <w:separator/>
      </w:r>
    </w:p>
  </w:footnote>
  <w:footnote w:type="continuationSeparator" w:id="0">
    <w:p w:rsidR="000032A6" w:rsidRDefault="000032A6" w:rsidP="009477E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82" w:rsidRDefault="007E3682" w:rsidP="00BA38AF">
    <w:pPr>
      <w:pStyle w:val="Zhlav"/>
    </w:pPr>
    <w:r>
      <w:rPr>
        <w:noProof/>
        <w:lang w:eastAsia="cs-CZ"/>
      </w:rPr>
      <w:drawing>
        <wp:inline distT="0" distB="0" distL="0" distR="0" wp14:anchorId="615B2259">
          <wp:extent cx="2164080" cy="469265"/>
          <wp:effectExtent l="0" t="0" r="762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960"/>
    <w:multiLevelType w:val="hybridMultilevel"/>
    <w:tmpl w:val="A1C8F4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203D0A"/>
    <w:multiLevelType w:val="multilevel"/>
    <w:tmpl w:val="40A2D4F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B34985"/>
    <w:multiLevelType w:val="hybridMultilevel"/>
    <w:tmpl w:val="71F648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5E7028"/>
    <w:multiLevelType w:val="hybridMultilevel"/>
    <w:tmpl w:val="092AEB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234AE5"/>
    <w:multiLevelType w:val="multilevel"/>
    <w:tmpl w:val="F6E437DC"/>
    <w:lvl w:ilvl="0">
      <w:start w:val="1"/>
      <w:numFmt w:val="decimal"/>
      <w:lvlText w:val="%1."/>
      <w:lvlJc w:val="left"/>
      <w:pPr>
        <w:ind w:left="720" w:hanging="360"/>
      </w:pPr>
      <w:rPr>
        <w:b/>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0634B30"/>
    <w:multiLevelType w:val="hybridMultilevel"/>
    <w:tmpl w:val="8862A5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556D7B"/>
    <w:multiLevelType w:val="hybridMultilevel"/>
    <w:tmpl w:val="607CF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F610423"/>
    <w:multiLevelType w:val="hybridMultilevel"/>
    <w:tmpl w:val="C13499BE"/>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8">
    <w:nsid w:val="53EE15F2"/>
    <w:multiLevelType w:val="hybridMultilevel"/>
    <w:tmpl w:val="3FB8E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2E1C18"/>
    <w:multiLevelType w:val="hybridMultilevel"/>
    <w:tmpl w:val="FEEC59E2"/>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0">
    <w:nsid w:val="576459F4"/>
    <w:multiLevelType w:val="hybridMultilevel"/>
    <w:tmpl w:val="740EAA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A5872E5"/>
    <w:multiLevelType w:val="hybridMultilevel"/>
    <w:tmpl w:val="72A21A76"/>
    <w:lvl w:ilvl="0" w:tplc="D34487A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C390E22"/>
    <w:multiLevelType w:val="hybridMultilevel"/>
    <w:tmpl w:val="BD98F09C"/>
    <w:lvl w:ilvl="0" w:tplc="52808E4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pStyle w:val="Nadpis7"/>
      <w:lvlText w:val="%4."/>
      <w:lvlJc w:val="left"/>
      <w:pPr>
        <w:ind w:left="2880" w:hanging="360"/>
      </w:pPr>
    </w:lvl>
    <w:lvl w:ilvl="4" w:tplc="04050019" w:tentative="1">
      <w:start w:val="1"/>
      <w:numFmt w:val="lowerLetter"/>
      <w:pStyle w:val="Nadpis8"/>
      <w:lvlText w:val="%5."/>
      <w:lvlJc w:val="left"/>
      <w:pPr>
        <w:ind w:left="3600" w:hanging="360"/>
      </w:pPr>
    </w:lvl>
    <w:lvl w:ilvl="5" w:tplc="0405001B" w:tentative="1">
      <w:start w:val="1"/>
      <w:numFmt w:val="lowerRoman"/>
      <w:pStyle w:val="Nadpis9"/>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79163E"/>
    <w:multiLevelType w:val="hybridMultilevel"/>
    <w:tmpl w:val="1646D3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6D7A2855"/>
    <w:multiLevelType w:val="hybridMultilevel"/>
    <w:tmpl w:val="9D289E2A"/>
    <w:lvl w:ilvl="0" w:tplc="A9629062">
      <w:start w:val="2"/>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2"/>
  </w:num>
  <w:num w:numId="2">
    <w:abstractNumId w:val="4"/>
  </w:num>
  <w:num w:numId="3">
    <w:abstractNumId w:val="14"/>
  </w:num>
  <w:num w:numId="4">
    <w:abstractNumId w:val="13"/>
  </w:num>
  <w:num w:numId="5">
    <w:abstractNumId w:val="6"/>
  </w:num>
  <w:num w:numId="6">
    <w:abstractNumId w:val="11"/>
  </w:num>
  <w:num w:numId="7">
    <w:abstractNumId w:val="10"/>
  </w:num>
  <w:num w:numId="8">
    <w:abstractNumId w:val="0"/>
  </w:num>
  <w:num w:numId="9">
    <w:abstractNumId w:val="3"/>
  </w:num>
  <w:num w:numId="10">
    <w:abstractNumId w:val="2"/>
  </w:num>
  <w:num w:numId="11">
    <w:abstractNumId w:val="1"/>
  </w:num>
  <w:num w:numId="12">
    <w:abstractNumId w:val="8"/>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4C"/>
    <w:rsid w:val="000032A6"/>
    <w:rsid w:val="000209DD"/>
    <w:rsid w:val="00091114"/>
    <w:rsid w:val="000B0325"/>
    <w:rsid w:val="000B4AE9"/>
    <w:rsid w:val="000E35A6"/>
    <w:rsid w:val="000E61BC"/>
    <w:rsid w:val="000F2B39"/>
    <w:rsid w:val="000F56D1"/>
    <w:rsid w:val="000F749D"/>
    <w:rsid w:val="00151C94"/>
    <w:rsid w:val="001538D2"/>
    <w:rsid w:val="00156CBE"/>
    <w:rsid w:val="001635AB"/>
    <w:rsid w:val="00171500"/>
    <w:rsid w:val="00177483"/>
    <w:rsid w:val="00195E38"/>
    <w:rsid w:val="00195E3A"/>
    <w:rsid w:val="001B16EE"/>
    <w:rsid w:val="001E042B"/>
    <w:rsid w:val="001E056E"/>
    <w:rsid w:val="001E7AD9"/>
    <w:rsid w:val="001F1FEF"/>
    <w:rsid w:val="001F759A"/>
    <w:rsid w:val="002114A9"/>
    <w:rsid w:val="00212E31"/>
    <w:rsid w:val="00213CFB"/>
    <w:rsid w:val="00244130"/>
    <w:rsid w:val="00250037"/>
    <w:rsid w:val="002522E2"/>
    <w:rsid w:val="00255083"/>
    <w:rsid w:val="002616DF"/>
    <w:rsid w:val="00264BB0"/>
    <w:rsid w:val="002927DF"/>
    <w:rsid w:val="002B722D"/>
    <w:rsid w:val="002C581E"/>
    <w:rsid w:val="002D332E"/>
    <w:rsid w:val="002E0ED0"/>
    <w:rsid w:val="002E2E6A"/>
    <w:rsid w:val="002F6E13"/>
    <w:rsid w:val="00300FDE"/>
    <w:rsid w:val="00327D41"/>
    <w:rsid w:val="00331F1B"/>
    <w:rsid w:val="0034178A"/>
    <w:rsid w:val="00346EF0"/>
    <w:rsid w:val="00354337"/>
    <w:rsid w:val="00371763"/>
    <w:rsid w:val="00383CAD"/>
    <w:rsid w:val="003A6050"/>
    <w:rsid w:val="003C22DD"/>
    <w:rsid w:val="003E6591"/>
    <w:rsid w:val="003F321A"/>
    <w:rsid w:val="003F397A"/>
    <w:rsid w:val="00400674"/>
    <w:rsid w:val="004076AB"/>
    <w:rsid w:val="00441885"/>
    <w:rsid w:val="00442402"/>
    <w:rsid w:val="00442C78"/>
    <w:rsid w:val="004507A6"/>
    <w:rsid w:val="00454D95"/>
    <w:rsid w:val="00481414"/>
    <w:rsid w:val="00494302"/>
    <w:rsid w:val="004A5057"/>
    <w:rsid w:val="004B31BE"/>
    <w:rsid w:val="004B351D"/>
    <w:rsid w:val="004B4861"/>
    <w:rsid w:val="004D050A"/>
    <w:rsid w:val="004D2AFD"/>
    <w:rsid w:val="004D3258"/>
    <w:rsid w:val="00502232"/>
    <w:rsid w:val="00505143"/>
    <w:rsid w:val="005104FE"/>
    <w:rsid w:val="0052197D"/>
    <w:rsid w:val="00521BFF"/>
    <w:rsid w:val="005359A5"/>
    <w:rsid w:val="00536ED5"/>
    <w:rsid w:val="005447FA"/>
    <w:rsid w:val="005A6F85"/>
    <w:rsid w:val="005C09E8"/>
    <w:rsid w:val="005C2193"/>
    <w:rsid w:val="005D18E1"/>
    <w:rsid w:val="005E0636"/>
    <w:rsid w:val="005F312B"/>
    <w:rsid w:val="005F4126"/>
    <w:rsid w:val="005F5F80"/>
    <w:rsid w:val="00634425"/>
    <w:rsid w:val="00640C76"/>
    <w:rsid w:val="00661A25"/>
    <w:rsid w:val="006664B9"/>
    <w:rsid w:val="00684174"/>
    <w:rsid w:val="00686900"/>
    <w:rsid w:val="006C3481"/>
    <w:rsid w:val="006C657A"/>
    <w:rsid w:val="006D0800"/>
    <w:rsid w:val="006E037B"/>
    <w:rsid w:val="006F2DA9"/>
    <w:rsid w:val="006F31EF"/>
    <w:rsid w:val="00707AC0"/>
    <w:rsid w:val="00707C0F"/>
    <w:rsid w:val="00732980"/>
    <w:rsid w:val="00733C6B"/>
    <w:rsid w:val="00734180"/>
    <w:rsid w:val="007473D4"/>
    <w:rsid w:val="00760F4D"/>
    <w:rsid w:val="007726E7"/>
    <w:rsid w:val="00774648"/>
    <w:rsid w:val="00774C37"/>
    <w:rsid w:val="007B64AA"/>
    <w:rsid w:val="007C67FD"/>
    <w:rsid w:val="007D29C8"/>
    <w:rsid w:val="007D5F0A"/>
    <w:rsid w:val="007E2591"/>
    <w:rsid w:val="007E3682"/>
    <w:rsid w:val="00800C3C"/>
    <w:rsid w:val="0081012D"/>
    <w:rsid w:val="00812D66"/>
    <w:rsid w:val="00853712"/>
    <w:rsid w:val="00885A7D"/>
    <w:rsid w:val="00892094"/>
    <w:rsid w:val="008928F5"/>
    <w:rsid w:val="00893BB4"/>
    <w:rsid w:val="008A081F"/>
    <w:rsid w:val="008B289E"/>
    <w:rsid w:val="008C00CC"/>
    <w:rsid w:val="00902A98"/>
    <w:rsid w:val="009030FC"/>
    <w:rsid w:val="00920F74"/>
    <w:rsid w:val="0093511E"/>
    <w:rsid w:val="0093532B"/>
    <w:rsid w:val="00941385"/>
    <w:rsid w:val="009477E4"/>
    <w:rsid w:val="009523BF"/>
    <w:rsid w:val="009531F0"/>
    <w:rsid w:val="009540CC"/>
    <w:rsid w:val="009577D2"/>
    <w:rsid w:val="00962199"/>
    <w:rsid w:val="009720B3"/>
    <w:rsid w:val="00976293"/>
    <w:rsid w:val="00980469"/>
    <w:rsid w:val="009A1685"/>
    <w:rsid w:val="009E2617"/>
    <w:rsid w:val="009E2E6E"/>
    <w:rsid w:val="009E30B5"/>
    <w:rsid w:val="009F2E9B"/>
    <w:rsid w:val="00A01908"/>
    <w:rsid w:val="00A051C9"/>
    <w:rsid w:val="00A06E85"/>
    <w:rsid w:val="00A12CE1"/>
    <w:rsid w:val="00A2156D"/>
    <w:rsid w:val="00A34322"/>
    <w:rsid w:val="00A56D01"/>
    <w:rsid w:val="00A70110"/>
    <w:rsid w:val="00A70F14"/>
    <w:rsid w:val="00A75FA9"/>
    <w:rsid w:val="00A833F3"/>
    <w:rsid w:val="00A84F22"/>
    <w:rsid w:val="00AA6084"/>
    <w:rsid w:val="00AD1324"/>
    <w:rsid w:val="00AD3970"/>
    <w:rsid w:val="00B03EAB"/>
    <w:rsid w:val="00B16B7B"/>
    <w:rsid w:val="00B565B4"/>
    <w:rsid w:val="00BA38AF"/>
    <w:rsid w:val="00BC310D"/>
    <w:rsid w:val="00BC4B4C"/>
    <w:rsid w:val="00BC6424"/>
    <w:rsid w:val="00BE4E0C"/>
    <w:rsid w:val="00BF248E"/>
    <w:rsid w:val="00BF514F"/>
    <w:rsid w:val="00C0631F"/>
    <w:rsid w:val="00C13976"/>
    <w:rsid w:val="00C36FCB"/>
    <w:rsid w:val="00C43958"/>
    <w:rsid w:val="00C618FD"/>
    <w:rsid w:val="00C73DB4"/>
    <w:rsid w:val="00CA1EF7"/>
    <w:rsid w:val="00CA702C"/>
    <w:rsid w:val="00CB1F6D"/>
    <w:rsid w:val="00CB3115"/>
    <w:rsid w:val="00CB609B"/>
    <w:rsid w:val="00CE27D4"/>
    <w:rsid w:val="00CE2A1D"/>
    <w:rsid w:val="00CE6EFF"/>
    <w:rsid w:val="00D02FB9"/>
    <w:rsid w:val="00D11243"/>
    <w:rsid w:val="00D259C1"/>
    <w:rsid w:val="00D501F3"/>
    <w:rsid w:val="00D5251B"/>
    <w:rsid w:val="00D53850"/>
    <w:rsid w:val="00D552E1"/>
    <w:rsid w:val="00D5634B"/>
    <w:rsid w:val="00D65B52"/>
    <w:rsid w:val="00D713E8"/>
    <w:rsid w:val="00D916FB"/>
    <w:rsid w:val="00DA0AB9"/>
    <w:rsid w:val="00DB599C"/>
    <w:rsid w:val="00DD1D91"/>
    <w:rsid w:val="00DD3452"/>
    <w:rsid w:val="00DE3150"/>
    <w:rsid w:val="00DE4D68"/>
    <w:rsid w:val="00DE4DD1"/>
    <w:rsid w:val="00E02599"/>
    <w:rsid w:val="00E05441"/>
    <w:rsid w:val="00E24F74"/>
    <w:rsid w:val="00E34625"/>
    <w:rsid w:val="00E50FB6"/>
    <w:rsid w:val="00E62414"/>
    <w:rsid w:val="00E63552"/>
    <w:rsid w:val="00E67688"/>
    <w:rsid w:val="00E72456"/>
    <w:rsid w:val="00EA40B0"/>
    <w:rsid w:val="00EB29E5"/>
    <w:rsid w:val="00ED5A79"/>
    <w:rsid w:val="00ED5F81"/>
    <w:rsid w:val="00EE1300"/>
    <w:rsid w:val="00EE1D5E"/>
    <w:rsid w:val="00EE7C98"/>
    <w:rsid w:val="00EF44AC"/>
    <w:rsid w:val="00F010CB"/>
    <w:rsid w:val="00F2050A"/>
    <w:rsid w:val="00F22AED"/>
    <w:rsid w:val="00F26B57"/>
    <w:rsid w:val="00F30B13"/>
    <w:rsid w:val="00F379BE"/>
    <w:rsid w:val="00F41844"/>
    <w:rsid w:val="00F66665"/>
    <w:rsid w:val="00F71555"/>
    <w:rsid w:val="00F74079"/>
    <w:rsid w:val="00FB292F"/>
    <w:rsid w:val="00FB7C66"/>
    <w:rsid w:val="00FC2867"/>
    <w:rsid w:val="00FC41C0"/>
    <w:rsid w:val="00FD1C1D"/>
    <w:rsid w:val="00FD47C0"/>
    <w:rsid w:val="00FD4923"/>
    <w:rsid w:val="00FD6756"/>
    <w:rsid w:val="00FE221A"/>
    <w:rsid w:val="00FE7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B4C"/>
    <w:pPr>
      <w:spacing w:before="60" w:after="0" w:line="240" w:lineRule="auto"/>
      <w:jc w:val="both"/>
    </w:pPr>
    <w:rPr>
      <w:rFonts w:ascii="Arial" w:eastAsia="Calibri" w:hAnsi="Arial" w:cs="Arial"/>
      <w:sz w:val="20"/>
      <w:szCs w:val="20"/>
    </w:rPr>
  </w:style>
  <w:style w:type="paragraph" w:styleId="Nadpis3">
    <w:name w:val="heading 3"/>
    <w:basedOn w:val="Normln"/>
    <w:next w:val="Normln"/>
    <w:link w:val="Nadpis3Char"/>
    <w:uiPriority w:val="99"/>
    <w:qFormat/>
    <w:rsid w:val="00BC4B4C"/>
    <w:pPr>
      <w:keepNext/>
      <w:numPr>
        <w:numId w:val="1"/>
      </w:numPr>
      <w:spacing w:before="240" w:after="120"/>
      <w:ind w:left="6031"/>
      <w:jc w:val="left"/>
      <w:outlineLvl w:val="2"/>
    </w:pPr>
    <w:rPr>
      <w:rFonts w:cs="Times New Roman"/>
      <w:b/>
      <w:bCs/>
      <w:sz w:val="26"/>
      <w:szCs w:val="26"/>
    </w:rPr>
  </w:style>
  <w:style w:type="paragraph" w:styleId="Nadpis7">
    <w:name w:val="heading 7"/>
    <w:basedOn w:val="Normln"/>
    <w:next w:val="Normln"/>
    <w:link w:val="Nadpis7Char"/>
    <w:uiPriority w:val="99"/>
    <w:qFormat/>
    <w:rsid w:val="00BC4B4C"/>
    <w:pPr>
      <w:keepNext/>
      <w:numPr>
        <w:ilvl w:val="3"/>
        <w:numId w:val="1"/>
      </w:numPr>
      <w:spacing w:before="360" w:after="240"/>
      <w:ind w:left="1728" w:hanging="648"/>
      <w:outlineLvl w:val="6"/>
    </w:pPr>
    <w:rPr>
      <w:rFonts w:ascii="Arial Narrow" w:eastAsia="Times New Roman" w:hAnsi="Arial Narrow" w:cs="Arial Narrow"/>
      <w:b/>
      <w:bCs/>
      <w:sz w:val="24"/>
      <w:szCs w:val="24"/>
    </w:rPr>
  </w:style>
  <w:style w:type="paragraph" w:styleId="Nadpis8">
    <w:name w:val="heading 8"/>
    <w:basedOn w:val="Nadpis7"/>
    <w:next w:val="Normln"/>
    <w:link w:val="Nadpis8Char"/>
    <w:uiPriority w:val="99"/>
    <w:qFormat/>
    <w:rsid w:val="00BC4B4C"/>
    <w:pPr>
      <w:numPr>
        <w:ilvl w:val="4"/>
      </w:numPr>
      <w:ind w:left="851" w:hanging="851"/>
      <w:outlineLvl w:val="7"/>
    </w:pPr>
    <w:rPr>
      <w:b w:val="0"/>
      <w:bCs w:val="0"/>
      <w:i/>
      <w:iCs/>
    </w:rPr>
  </w:style>
  <w:style w:type="paragraph" w:styleId="Nadpis9">
    <w:name w:val="heading 9"/>
    <w:basedOn w:val="Nadpis8"/>
    <w:next w:val="Normln"/>
    <w:link w:val="Nadpis9Char"/>
    <w:uiPriority w:val="99"/>
    <w:qFormat/>
    <w:rsid w:val="00BC4B4C"/>
    <w:pPr>
      <w:numPr>
        <w:ilvl w:val="5"/>
      </w:numPr>
      <w:ind w:left="1560" w:hanging="936"/>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BC4B4C"/>
    <w:rPr>
      <w:rFonts w:ascii="Arial" w:eastAsia="Calibri" w:hAnsi="Arial" w:cs="Times New Roman"/>
      <w:b/>
      <w:bCs/>
      <w:sz w:val="26"/>
      <w:szCs w:val="26"/>
    </w:rPr>
  </w:style>
  <w:style w:type="character" w:customStyle="1" w:styleId="Nadpis7Char">
    <w:name w:val="Nadpis 7 Char"/>
    <w:basedOn w:val="Standardnpsmoodstavce"/>
    <w:link w:val="Nadpis7"/>
    <w:uiPriority w:val="99"/>
    <w:rsid w:val="00BC4B4C"/>
    <w:rPr>
      <w:rFonts w:ascii="Arial Narrow" w:eastAsia="Times New Roman" w:hAnsi="Arial Narrow" w:cs="Arial Narrow"/>
      <w:b/>
      <w:bCs/>
      <w:sz w:val="24"/>
      <w:szCs w:val="24"/>
    </w:rPr>
  </w:style>
  <w:style w:type="character" w:customStyle="1" w:styleId="Nadpis8Char">
    <w:name w:val="Nadpis 8 Char"/>
    <w:basedOn w:val="Standardnpsmoodstavce"/>
    <w:link w:val="Nadpis8"/>
    <w:uiPriority w:val="99"/>
    <w:rsid w:val="00BC4B4C"/>
    <w:rPr>
      <w:rFonts w:ascii="Arial Narrow" w:eastAsia="Times New Roman" w:hAnsi="Arial Narrow" w:cs="Arial Narrow"/>
      <w:i/>
      <w:iCs/>
      <w:sz w:val="24"/>
      <w:szCs w:val="24"/>
    </w:rPr>
  </w:style>
  <w:style w:type="character" w:customStyle="1" w:styleId="Nadpis9Char">
    <w:name w:val="Nadpis 9 Char"/>
    <w:basedOn w:val="Standardnpsmoodstavce"/>
    <w:link w:val="Nadpis9"/>
    <w:uiPriority w:val="99"/>
    <w:rsid w:val="00BC4B4C"/>
    <w:rPr>
      <w:rFonts w:ascii="Arial Narrow" w:eastAsia="Times New Roman" w:hAnsi="Arial Narrow" w:cs="Arial Narrow"/>
      <w:i/>
      <w:iCs/>
      <w:sz w:val="24"/>
      <w:szCs w:val="24"/>
    </w:rPr>
  </w:style>
  <w:style w:type="paragraph" w:styleId="Odstavecseseznamem">
    <w:name w:val="List Paragraph"/>
    <w:basedOn w:val="Normln"/>
    <w:uiPriority w:val="34"/>
    <w:qFormat/>
    <w:rsid w:val="00BC4B4C"/>
    <w:pPr>
      <w:spacing w:before="0" w:after="200" w:line="276" w:lineRule="auto"/>
      <w:ind w:left="720"/>
      <w:contextualSpacing/>
      <w:jc w:val="left"/>
    </w:pPr>
    <w:rPr>
      <w:rFonts w:ascii="Calibri" w:hAnsi="Calibri" w:cs="Calibri"/>
      <w:sz w:val="22"/>
      <w:szCs w:val="22"/>
    </w:rPr>
  </w:style>
  <w:style w:type="character" w:styleId="Hypertextovodkaz">
    <w:name w:val="Hyperlink"/>
    <w:basedOn w:val="Standardnpsmoodstavce"/>
    <w:uiPriority w:val="99"/>
    <w:unhideWhenUsed/>
    <w:rsid w:val="00BC4B4C"/>
    <w:rPr>
      <w:color w:val="0000FF" w:themeColor="hyperlink"/>
      <w:u w:val="single"/>
    </w:rPr>
  </w:style>
  <w:style w:type="paragraph" w:styleId="Zhlav">
    <w:name w:val="header"/>
    <w:basedOn w:val="Normln"/>
    <w:link w:val="ZhlavChar"/>
    <w:uiPriority w:val="99"/>
    <w:unhideWhenUsed/>
    <w:rsid w:val="00BC4B4C"/>
    <w:pPr>
      <w:tabs>
        <w:tab w:val="center" w:pos="4536"/>
        <w:tab w:val="right" w:pos="9072"/>
      </w:tabs>
      <w:spacing w:before="0"/>
    </w:pPr>
  </w:style>
  <w:style w:type="character" w:customStyle="1" w:styleId="ZhlavChar">
    <w:name w:val="Záhlaví Char"/>
    <w:basedOn w:val="Standardnpsmoodstavce"/>
    <w:link w:val="Zhlav"/>
    <w:uiPriority w:val="99"/>
    <w:rsid w:val="00BC4B4C"/>
    <w:rPr>
      <w:rFonts w:ascii="Arial" w:eastAsia="Calibri" w:hAnsi="Arial" w:cs="Arial"/>
      <w:sz w:val="20"/>
      <w:szCs w:val="20"/>
    </w:rPr>
  </w:style>
  <w:style w:type="paragraph" w:styleId="Zpat">
    <w:name w:val="footer"/>
    <w:basedOn w:val="Normln"/>
    <w:link w:val="ZpatChar"/>
    <w:uiPriority w:val="99"/>
    <w:unhideWhenUsed/>
    <w:rsid w:val="00BC4B4C"/>
    <w:pPr>
      <w:tabs>
        <w:tab w:val="center" w:pos="4536"/>
        <w:tab w:val="right" w:pos="9072"/>
      </w:tabs>
      <w:spacing w:before="0"/>
    </w:pPr>
  </w:style>
  <w:style w:type="character" w:customStyle="1" w:styleId="ZpatChar">
    <w:name w:val="Zápatí Char"/>
    <w:basedOn w:val="Standardnpsmoodstavce"/>
    <w:link w:val="Zpat"/>
    <w:uiPriority w:val="99"/>
    <w:rsid w:val="00BC4B4C"/>
    <w:rPr>
      <w:rFonts w:ascii="Arial" w:eastAsia="Calibri" w:hAnsi="Arial" w:cs="Arial"/>
      <w:sz w:val="20"/>
      <w:szCs w:val="20"/>
    </w:rPr>
  </w:style>
  <w:style w:type="character" w:customStyle="1" w:styleId="apple-converted-space">
    <w:name w:val="apple-converted-space"/>
    <w:basedOn w:val="Standardnpsmoodstavce"/>
    <w:rsid w:val="00BC4B4C"/>
  </w:style>
  <w:style w:type="table" w:styleId="Mkatabulky">
    <w:name w:val="Table Grid"/>
    <w:basedOn w:val="Normlntabulka"/>
    <w:uiPriority w:val="59"/>
    <w:rsid w:val="0038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507A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07A6"/>
    <w:rPr>
      <w:rFonts w:ascii="Tahoma" w:eastAsia="Calibri" w:hAnsi="Tahoma" w:cs="Tahoma"/>
      <w:sz w:val="16"/>
      <w:szCs w:val="16"/>
    </w:rPr>
  </w:style>
  <w:style w:type="character" w:styleId="Odkaznakoment">
    <w:name w:val="annotation reference"/>
    <w:basedOn w:val="Standardnpsmoodstavce"/>
    <w:uiPriority w:val="99"/>
    <w:semiHidden/>
    <w:unhideWhenUsed/>
    <w:rsid w:val="009540CC"/>
    <w:rPr>
      <w:sz w:val="16"/>
      <w:szCs w:val="16"/>
    </w:rPr>
  </w:style>
  <w:style w:type="paragraph" w:styleId="Textkomente">
    <w:name w:val="annotation text"/>
    <w:basedOn w:val="Normln"/>
    <w:link w:val="TextkomenteChar"/>
    <w:uiPriority w:val="99"/>
    <w:unhideWhenUsed/>
    <w:rsid w:val="009540CC"/>
  </w:style>
  <w:style w:type="character" w:customStyle="1" w:styleId="TextkomenteChar">
    <w:name w:val="Text komentáře Char"/>
    <w:basedOn w:val="Standardnpsmoodstavce"/>
    <w:link w:val="Textkomente"/>
    <w:uiPriority w:val="99"/>
    <w:rsid w:val="009540CC"/>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9540CC"/>
    <w:rPr>
      <w:b/>
      <w:bCs/>
    </w:rPr>
  </w:style>
  <w:style w:type="character" w:customStyle="1" w:styleId="PedmtkomenteChar">
    <w:name w:val="Předmět komentáře Char"/>
    <w:basedOn w:val="TextkomenteChar"/>
    <w:link w:val="Pedmtkomente"/>
    <w:uiPriority w:val="99"/>
    <w:semiHidden/>
    <w:rsid w:val="009540CC"/>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B4C"/>
    <w:pPr>
      <w:spacing w:before="60" w:after="0" w:line="240" w:lineRule="auto"/>
      <w:jc w:val="both"/>
    </w:pPr>
    <w:rPr>
      <w:rFonts w:ascii="Arial" w:eastAsia="Calibri" w:hAnsi="Arial" w:cs="Arial"/>
      <w:sz w:val="20"/>
      <w:szCs w:val="20"/>
    </w:rPr>
  </w:style>
  <w:style w:type="paragraph" w:styleId="Nadpis3">
    <w:name w:val="heading 3"/>
    <w:basedOn w:val="Normln"/>
    <w:next w:val="Normln"/>
    <w:link w:val="Nadpis3Char"/>
    <w:uiPriority w:val="99"/>
    <w:qFormat/>
    <w:rsid w:val="00BC4B4C"/>
    <w:pPr>
      <w:keepNext/>
      <w:numPr>
        <w:numId w:val="1"/>
      </w:numPr>
      <w:spacing w:before="240" w:after="120"/>
      <w:ind w:left="6031"/>
      <w:jc w:val="left"/>
      <w:outlineLvl w:val="2"/>
    </w:pPr>
    <w:rPr>
      <w:rFonts w:cs="Times New Roman"/>
      <w:b/>
      <w:bCs/>
      <w:sz w:val="26"/>
      <w:szCs w:val="26"/>
    </w:rPr>
  </w:style>
  <w:style w:type="paragraph" w:styleId="Nadpis7">
    <w:name w:val="heading 7"/>
    <w:basedOn w:val="Normln"/>
    <w:next w:val="Normln"/>
    <w:link w:val="Nadpis7Char"/>
    <w:uiPriority w:val="99"/>
    <w:qFormat/>
    <w:rsid w:val="00BC4B4C"/>
    <w:pPr>
      <w:keepNext/>
      <w:numPr>
        <w:ilvl w:val="3"/>
        <w:numId w:val="1"/>
      </w:numPr>
      <w:spacing w:before="360" w:after="240"/>
      <w:ind w:left="1728" w:hanging="648"/>
      <w:outlineLvl w:val="6"/>
    </w:pPr>
    <w:rPr>
      <w:rFonts w:ascii="Arial Narrow" w:eastAsia="Times New Roman" w:hAnsi="Arial Narrow" w:cs="Arial Narrow"/>
      <w:b/>
      <w:bCs/>
      <w:sz w:val="24"/>
      <w:szCs w:val="24"/>
    </w:rPr>
  </w:style>
  <w:style w:type="paragraph" w:styleId="Nadpis8">
    <w:name w:val="heading 8"/>
    <w:basedOn w:val="Nadpis7"/>
    <w:next w:val="Normln"/>
    <w:link w:val="Nadpis8Char"/>
    <w:uiPriority w:val="99"/>
    <w:qFormat/>
    <w:rsid w:val="00BC4B4C"/>
    <w:pPr>
      <w:numPr>
        <w:ilvl w:val="4"/>
      </w:numPr>
      <w:ind w:left="851" w:hanging="851"/>
      <w:outlineLvl w:val="7"/>
    </w:pPr>
    <w:rPr>
      <w:b w:val="0"/>
      <w:bCs w:val="0"/>
      <w:i/>
      <w:iCs/>
    </w:rPr>
  </w:style>
  <w:style w:type="paragraph" w:styleId="Nadpis9">
    <w:name w:val="heading 9"/>
    <w:basedOn w:val="Nadpis8"/>
    <w:next w:val="Normln"/>
    <w:link w:val="Nadpis9Char"/>
    <w:uiPriority w:val="99"/>
    <w:qFormat/>
    <w:rsid w:val="00BC4B4C"/>
    <w:pPr>
      <w:numPr>
        <w:ilvl w:val="5"/>
      </w:numPr>
      <w:ind w:left="1560" w:hanging="936"/>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BC4B4C"/>
    <w:rPr>
      <w:rFonts w:ascii="Arial" w:eastAsia="Calibri" w:hAnsi="Arial" w:cs="Times New Roman"/>
      <w:b/>
      <w:bCs/>
      <w:sz w:val="26"/>
      <w:szCs w:val="26"/>
    </w:rPr>
  </w:style>
  <w:style w:type="character" w:customStyle="1" w:styleId="Nadpis7Char">
    <w:name w:val="Nadpis 7 Char"/>
    <w:basedOn w:val="Standardnpsmoodstavce"/>
    <w:link w:val="Nadpis7"/>
    <w:uiPriority w:val="99"/>
    <w:rsid w:val="00BC4B4C"/>
    <w:rPr>
      <w:rFonts w:ascii="Arial Narrow" w:eastAsia="Times New Roman" w:hAnsi="Arial Narrow" w:cs="Arial Narrow"/>
      <w:b/>
      <w:bCs/>
      <w:sz w:val="24"/>
      <w:szCs w:val="24"/>
    </w:rPr>
  </w:style>
  <w:style w:type="character" w:customStyle="1" w:styleId="Nadpis8Char">
    <w:name w:val="Nadpis 8 Char"/>
    <w:basedOn w:val="Standardnpsmoodstavce"/>
    <w:link w:val="Nadpis8"/>
    <w:uiPriority w:val="99"/>
    <w:rsid w:val="00BC4B4C"/>
    <w:rPr>
      <w:rFonts w:ascii="Arial Narrow" w:eastAsia="Times New Roman" w:hAnsi="Arial Narrow" w:cs="Arial Narrow"/>
      <w:i/>
      <w:iCs/>
      <w:sz w:val="24"/>
      <w:szCs w:val="24"/>
    </w:rPr>
  </w:style>
  <w:style w:type="character" w:customStyle="1" w:styleId="Nadpis9Char">
    <w:name w:val="Nadpis 9 Char"/>
    <w:basedOn w:val="Standardnpsmoodstavce"/>
    <w:link w:val="Nadpis9"/>
    <w:uiPriority w:val="99"/>
    <w:rsid w:val="00BC4B4C"/>
    <w:rPr>
      <w:rFonts w:ascii="Arial Narrow" w:eastAsia="Times New Roman" w:hAnsi="Arial Narrow" w:cs="Arial Narrow"/>
      <w:i/>
      <w:iCs/>
      <w:sz w:val="24"/>
      <w:szCs w:val="24"/>
    </w:rPr>
  </w:style>
  <w:style w:type="paragraph" w:styleId="Odstavecseseznamem">
    <w:name w:val="List Paragraph"/>
    <w:basedOn w:val="Normln"/>
    <w:uiPriority w:val="34"/>
    <w:qFormat/>
    <w:rsid w:val="00BC4B4C"/>
    <w:pPr>
      <w:spacing w:before="0" w:after="200" w:line="276" w:lineRule="auto"/>
      <w:ind w:left="720"/>
      <w:contextualSpacing/>
      <w:jc w:val="left"/>
    </w:pPr>
    <w:rPr>
      <w:rFonts w:ascii="Calibri" w:hAnsi="Calibri" w:cs="Calibri"/>
      <w:sz w:val="22"/>
      <w:szCs w:val="22"/>
    </w:rPr>
  </w:style>
  <w:style w:type="character" w:styleId="Hypertextovodkaz">
    <w:name w:val="Hyperlink"/>
    <w:basedOn w:val="Standardnpsmoodstavce"/>
    <w:uiPriority w:val="99"/>
    <w:unhideWhenUsed/>
    <w:rsid w:val="00BC4B4C"/>
    <w:rPr>
      <w:color w:val="0000FF" w:themeColor="hyperlink"/>
      <w:u w:val="single"/>
    </w:rPr>
  </w:style>
  <w:style w:type="paragraph" w:styleId="Zhlav">
    <w:name w:val="header"/>
    <w:basedOn w:val="Normln"/>
    <w:link w:val="ZhlavChar"/>
    <w:uiPriority w:val="99"/>
    <w:unhideWhenUsed/>
    <w:rsid w:val="00BC4B4C"/>
    <w:pPr>
      <w:tabs>
        <w:tab w:val="center" w:pos="4536"/>
        <w:tab w:val="right" w:pos="9072"/>
      </w:tabs>
      <w:spacing w:before="0"/>
    </w:pPr>
  </w:style>
  <w:style w:type="character" w:customStyle="1" w:styleId="ZhlavChar">
    <w:name w:val="Záhlaví Char"/>
    <w:basedOn w:val="Standardnpsmoodstavce"/>
    <w:link w:val="Zhlav"/>
    <w:uiPriority w:val="99"/>
    <w:rsid w:val="00BC4B4C"/>
    <w:rPr>
      <w:rFonts w:ascii="Arial" w:eastAsia="Calibri" w:hAnsi="Arial" w:cs="Arial"/>
      <w:sz w:val="20"/>
      <w:szCs w:val="20"/>
    </w:rPr>
  </w:style>
  <w:style w:type="paragraph" w:styleId="Zpat">
    <w:name w:val="footer"/>
    <w:basedOn w:val="Normln"/>
    <w:link w:val="ZpatChar"/>
    <w:uiPriority w:val="99"/>
    <w:unhideWhenUsed/>
    <w:rsid w:val="00BC4B4C"/>
    <w:pPr>
      <w:tabs>
        <w:tab w:val="center" w:pos="4536"/>
        <w:tab w:val="right" w:pos="9072"/>
      </w:tabs>
      <w:spacing w:before="0"/>
    </w:pPr>
  </w:style>
  <w:style w:type="character" w:customStyle="1" w:styleId="ZpatChar">
    <w:name w:val="Zápatí Char"/>
    <w:basedOn w:val="Standardnpsmoodstavce"/>
    <w:link w:val="Zpat"/>
    <w:uiPriority w:val="99"/>
    <w:rsid w:val="00BC4B4C"/>
    <w:rPr>
      <w:rFonts w:ascii="Arial" w:eastAsia="Calibri" w:hAnsi="Arial" w:cs="Arial"/>
      <w:sz w:val="20"/>
      <w:szCs w:val="20"/>
    </w:rPr>
  </w:style>
  <w:style w:type="character" w:customStyle="1" w:styleId="apple-converted-space">
    <w:name w:val="apple-converted-space"/>
    <w:basedOn w:val="Standardnpsmoodstavce"/>
    <w:rsid w:val="00BC4B4C"/>
  </w:style>
  <w:style w:type="table" w:styleId="Mkatabulky">
    <w:name w:val="Table Grid"/>
    <w:basedOn w:val="Normlntabulka"/>
    <w:uiPriority w:val="59"/>
    <w:rsid w:val="0038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507A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07A6"/>
    <w:rPr>
      <w:rFonts w:ascii="Tahoma" w:eastAsia="Calibri" w:hAnsi="Tahoma" w:cs="Tahoma"/>
      <w:sz w:val="16"/>
      <w:szCs w:val="16"/>
    </w:rPr>
  </w:style>
  <w:style w:type="character" w:styleId="Odkaznakoment">
    <w:name w:val="annotation reference"/>
    <w:basedOn w:val="Standardnpsmoodstavce"/>
    <w:uiPriority w:val="99"/>
    <w:semiHidden/>
    <w:unhideWhenUsed/>
    <w:rsid w:val="009540CC"/>
    <w:rPr>
      <w:sz w:val="16"/>
      <w:szCs w:val="16"/>
    </w:rPr>
  </w:style>
  <w:style w:type="paragraph" w:styleId="Textkomente">
    <w:name w:val="annotation text"/>
    <w:basedOn w:val="Normln"/>
    <w:link w:val="TextkomenteChar"/>
    <w:uiPriority w:val="99"/>
    <w:unhideWhenUsed/>
    <w:rsid w:val="009540CC"/>
  </w:style>
  <w:style w:type="character" w:customStyle="1" w:styleId="TextkomenteChar">
    <w:name w:val="Text komentáře Char"/>
    <w:basedOn w:val="Standardnpsmoodstavce"/>
    <w:link w:val="Textkomente"/>
    <w:uiPriority w:val="99"/>
    <w:rsid w:val="009540CC"/>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9540CC"/>
    <w:rPr>
      <w:b/>
      <w:bCs/>
    </w:rPr>
  </w:style>
  <w:style w:type="character" w:customStyle="1" w:styleId="PedmtkomenteChar">
    <w:name w:val="Předmět komentáře Char"/>
    <w:basedOn w:val="TextkomenteChar"/>
    <w:link w:val="Pedmtkomente"/>
    <w:uiPriority w:val="99"/>
    <w:semiHidden/>
    <w:rsid w:val="009540CC"/>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ck-online.cz/bo/document-view.seam?documentId=onrf6mrqga3f6mjygmxhazrrgy4q" TargetMode="External"/><Relationship Id="rId18" Type="http://schemas.openxmlformats.org/officeDocument/2006/relationships/hyperlink" Target="http://www.uur.cz/default.asp?ID=25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mr.cz/getmedia/540fffb4-3586-4351-95ed-7472fa2107d8/Proluka-final.pdf?ext=.pdf" TargetMode="External"/><Relationship Id="rId17" Type="http://schemas.openxmlformats.org/officeDocument/2006/relationships/hyperlink" Target="http://www.uur.cz/default.asp?ID=2588" TargetMode="External"/><Relationship Id="rId2" Type="http://schemas.openxmlformats.org/officeDocument/2006/relationships/numbering" Target="numbering.xml"/><Relationship Id="rId16" Type="http://schemas.openxmlformats.org/officeDocument/2006/relationships/hyperlink" Target="http://www.uur.cz/default.asp?ID=25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ck-online.cz/bo/document-view.seam?documentId=onrf6mrqga3f6mjygmxhazrrgy4q" TargetMode="External"/><Relationship Id="rId5" Type="http://schemas.openxmlformats.org/officeDocument/2006/relationships/settings" Target="settings.xml"/><Relationship Id="rId15" Type="http://schemas.openxmlformats.org/officeDocument/2006/relationships/hyperlink" Target="https://www.beck-online.cz/bo/document-view.seam?documentId=onrf6mrqga3f6mjygmxhazrrgy4q" TargetMode="External"/><Relationship Id="rId10" Type="http://schemas.openxmlformats.org/officeDocument/2006/relationships/hyperlink" Target="aspi://module='ASPI'&amp;link='183/2006%20Sb.%2523169'&amp;ucin-k-dni='30.12.999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spi://module='ASPI'&amp;link='183/2006%20Sb.%25232'&amp;ucin-k-dni='30.12.9999'" TargetMode="External"/><Relationship Id="rId14" Type="http://schemas.openxmlformats.org/officeDocument/2006/relationships/hyperlink" Target="http://www.mmr.cz/cs/Uzemni-a-bytova-politika/Uzemni-planovani-a-stavebni-rad/Pravo-a-legislativa-(1)/Normy-CSN-a-souvisejici-informa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148C-C774-4FE7-9745-EF7B377B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6278</Words>
  <Characters>37041</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2016-07-13T10:40:00Z</dcterms:created>
  <dcterms:modified xsi:type="dcterms:W3CDTF">2016-07-13T10:40:00Z</dcterms:modified>
</cp:coreProperties>
</file>